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A06" w:rsidRDefault="00446A0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46A06" w:rsidRDefault="00446A06">
      <w:pPr>
        <w:pStyle w:val="ConsPlusNormal"/>
        <w:jc w:val="center"/>
        <w:outlineLvl w:val="0"/>
      </w:pPr>
    </w:p>
    <w:p w:rsidR="00446A06" w:rsidRDefault="00446A06">
      <w:pPr>
        <w:pStyle w:val="ConsPlusTitle"/>
        <w:jc w:val="center"/>
        <w:outlineLvl w:val="0"/>
      </w:pPr>
      <w:r>
        <w:t>МИНИСТЕРСТВО ЗДРАВООХРАНЕНИЯ И СОЦИАЛЬНОГО РАЗВИТИЯ</w:t>
      </w:r>
    </w:p>
    <w:p w:rsidR="00446A06" w:rsidRDefault="00446A06">
      <w:pPr>
        <w:pStyle w:val="ConsPlusTitle"/>
        <w:jc w:val="center"/>
      </w:pPr>
      <w:r>
        <w:t>РОССИЙСКОЙ ФЕДЕРАЦИИ</w:t>
      </w:r>
    </w:p>
    <w:p w:rsidR="00446A06" w:rsidRDefault="00446A06">
      <w:pPr>
        <w:pStyle w:val="ConsPlusTitle"/>
        <w:jc w:val="center"/>
      </w:pPr>
    </w:p>
    <w:p w:rsidR="00446A06" w:rsidRDefault="00446A06">
      <w:pPr>
        <w:pStyle w:val="ConsPlusTitle"/>
        <w:jc w:val="center"/>
      </w:pPr>
      <w:r>
        <w:t>ПИСЬМО</w:t>
      </w:r>
    </w:p>
    <w:p w:rsidR="00446A06" w:rsidRDefault="00446A06">
      <w:pPr>
        <w:pStyle w:val="ConsPlusTitle"/>
        <w:jc w:val="center"/>
      </w:pPr>
      <w:r>
        <w:t>от 11 апреля 2012 г. N 17-1/556</w:t>
      </w:r>
    </w:p>
    <w:p w:rsidR="00446A06" w:rsidRDefault="00446A06">
      <w:pPr>
        <w:pStyle w:val="ConsPlusNormal"/>
        <w:jc w:val="center"/>
      </w:pPr>
    </w:p>
    <w:p w:rsidR="00446A06" w:rsidRDefault="00446A06">
      <w:pPr>
        <w:pStyle w:val="ConsPlusNormal"/>
        <w:ind w:firstLine="540"/>
        <w:jc w:val="both"/>
      </w:pPr>
      <w:r>
        <w:t xml:space="preserve">В целях обеспечения единства подходов при применении федеральными государственными органами норм антикоррупционного законодательства в части представления сведений о доходах, об имуществе и обязательствах имущественного характера, а также проверки их достоверности и полноты направляем </w:t>
      </w:r>
      <w:hyperlink w:anchor="P22" w:history="1">
        <w:r>
          <w:rPr>
            <w:color w:val="0000FF"/>
          </w:rPr>
          <w:t>протокол</w:t>
        </w:r>
      </w:hyperlink>
      <w:r>
        <w:t xml:space="preserve"> совещания, состоявшегося 27 марта 2012 г. в Минздравсоцразвития России (прилагается).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 xml:space="preserve">Одновременно сообщаем, что в электронном виде данный </w:t>
      </w:r>
      <w:hyperlink w:anchor="P22" w:history="1">
        <w:r>
          <w:rPr>
            <w:color w:val="0000FF"/>
          </w:rPr>
          <w:t>протокол</w:t>
        </w:r>
      </w:hyperlink>
      <w:r>
        <w:t xml:space="preserve"> размещен в подсистеме "личный кабинет" федеральной государственной информационной системы "Федеральный портал управленческих кадров" по адресу: http://www.rezerv.gov.ru.</w:t>
      </w:r>
    </w:p>
    <w:p w:rsidR="00446A06" w:rsidRDefault="00446A06">
      <w:pPr>
        <w:pStyle w:val="ConsPlusNormal"/>
        <w:ind w:firstLine="540"/>
        <w:jc w:val="both"/>
      </w:pPr>
    </w:p>
    <w:p w:rsidR="00446A06" w:rsidRDefault="00446A06">
      <w:pPr>
        <w:pStyle w:val="ConsPlusNormal"/>
        <w:jc w:val="right"/>
      </w:pPr>
      <w:r>
        <w:t>Директор Департамента</w:t>
      </w:r>
    </w:p>
    <w:p w:rsidR="00446A06" w:rsidRDefault="00446A06">
      <w:pPr>
        <w:pStyle w:val="ConsPlusNormal"/>
        <w:jc w:val="right"/>
      </w:pPr>
      <w:r>
        <w:t>государственной политики</w:t>
      </w:r>
    </w:p>
    <w:p w:rsidR="00446A06" w:rsidRDefault="00446A06">
      <w:pPr>
        <w:pStyle w:val="ConsPlusNormal"/>
        <w:jc w:val="right"/>
      </w:pPr>
      <w:r>
        <w:t>и нормативно-правового регулирования</w:t>
      </w:r>
    </w:p>
    <w:p w:rsidR="00446A06" w:rsidRDefault="00446A06">
      <w:pPr>
        <w:pStyle w:val="ConsPlusNormal"/>
        <w:jc w:val="right"/>
      </w:pPr>
      <w:r>
        <w:t>государственной гражданской службы</w:t>
      </w:r>
    </w:p>
    <w:p w:rsidR="00446A06" w:rsidRDefault="00446A06">
      <w:pPr>
        <w:pStyle w:val="ConsPlusNormal"/>
        <w:jc w:val="right"/>
      </w:pPr>
      <w:r>
        <w:t>С.М.НЕЧАЕВА</w:t>
      </w:r>
    </w:p>
    <w:p w:rsidR="00446A06" w:rsidRDefault="00446A06">
      <w:pPr>
        <w:pStyle w:val="ConsPlusNormal"/>
        <w:jc w:val="right"/>
      </w:pPr>
    </w:p>
    <w:p w:rsidR="00446A06" w:rsidRDefault="00446A06">
      <w:pPr>
        <w:pStyle w:val="ConsPlusNormal"/>
        <w:jc w:val="right"/>
      </w:pPr>
    </w:p>
    <w:p w:rsidR="00446A06" w:rsidRDefault="00446A06">
      <w:pPr>
        <w:pStyle w:val="ConsPlusNormal"/>
        <w:jc w:val="right"/>
      </w:pPr>
    </w:p>
    <w:p w:rsidR="00446A06" w:rsidRDefault="00446A06">
      <w:pPr>
        <w:pStyle w:val="ConsPlusNormal"/>
        <w:jc w:val="right"/>
      </w:pPr>
    </w:p>
    <w:p w:rsidR="00446A06" w:rsidRDefault="00446A06">
      <w:pPr>
        <w:pStyle w:val="ConsPlusNormal"/>
        <w:jc w:val="right"/>
      </w:pPr>
    </w:p>
    <w:p w:rsidR="00446A06" w:rsidRDefault="00446A06">
      <w:pPr>
        <w:pStyle w:val="ConsPlusNormal"/>
        <w:jc w:val="right"/>
        <w:outlineLvl w:val="0"/>
      </w:pPr>
      <w:r>
        <w:t>Приложение</w:t>
      </w:r>
    </w:p>
    <w:p w:rsidR="00446A06" w:rsidRDefault="00446A06">
      <w:pPr>
        <w:pStyle w:val="ConsPlusNormal"/>
        <w:jc w:val="right"/>
      </w:pPr>
    </w:p>
    <w:p w:rsidR="00446A06" w:rsidRDefault="00446A06">
      <w:pPr>
        <w:pStyle w:val="ConsPlusTitle"/>
        <w:jc w:val="center"/>
      </w:pPr>
      <w:bookmarkStart w:id="0" w:name="P22"/>
      <w:bookmarkEnd w:id="0"/>
      <w:r>
        <w:t>ПРОТОКОЛ</w:t>
      </w:r>
    </w:p>
    <w:p w:rsidR="00446A06" w:rsidRDefault="00446A06">
      <w:pPr>
        <w:pStyle w:val="ConsPlusTitle"/>
        <w:jc w:val="center"/>
      </w:pPr>
      <w:r>
        <w:t>СОВЕЩАНИЯ В МИНЗДРАВСОЦРАЗВИТИЯ РОССИИ ПО ВОПРОСУ</w:t>
      </w:r>
    </w:p>
    <w:p w:rsidR="00446A06" w:rsidRDefault="00446A06">
      <w:pPr>
        <w:pStyle w:val="ConsPlusTitle"/>
        <w:jc w:val="center"/>
      </w:pPr>
      <w:r>
        <w:t>ВЫРАБОТКИ ЕДИНЫХ ПОДХОДОВ К РЕШЕНИЮ ВОПРОСОВ, ВОЗНИКАЮЩИХ</w:t>
      </w:r>
    </w:p>
    <w:p w:rsidR="00446A06" w:rsidRDefault="00446A06">
      <w:pPr>
        <w:pStyle w:val="ConsPlusTitle"/>
        <w:jc w:val="center"/>
      </w:pPr>
      <w:r>
        <w:t>ПРИ РЕАЛИЗАЦИИ ОБЯЗАННОСТИ ПО ПРЕДСТАВЛЕНИЮ СВЕДЕНИЙ</w:t>
      </w:r>
    </w:p>
    <w:p w:rsidR="00446A06" w:rsidRDefault="00446A06">
      <w:pPr>
        <w:pStyle w:val="ConsPlusTitle"/>
        <w:jc w:val="center"/>
      </w:pPr>
      <w:r>
        <w:t>О ДОХОДАХ, ОБ ИМУЩЕСТВЕ И ОБЯЗАТЕЛЬСТВАХ</w:t>
      </w:r>
    </w:p>
    <w:p w:rsidR="00446A06" w:rsidRDefault="00446A06">
      <w:pPr>
        <w:pStyle w:val="ConsPlusTitle"/>
        <w:jc w:val="center"/>
      </w:pPr>
      <w:r>
        <w:t>ИМУЩЕСТВЕННОГО ХАРАКТЕРА</w:t>
      </w:r>
    </w:p>
    <w:p w:rsidR="00446A06" w:rsidRDefault="00446A06">
      <w:pPr>
        <w:pStyle w:val="ConsPlusTitle"/>
        <w:jc w:val="center"/>
      </w:pPr>
    </w:p>
    <w:p w:rsidR="00446A06" w:rsidRDefault="00446A06">
      <w:pPr>
        <w:pStyle w:val="ConsPlusTitle"/>
        <w:jc w:val="center"/>
      </w:pPr>
      <w:r>
        <w:t>от 27 марта 2012 г. N СН-4</w:t>
      </w:r>
    </w:p>
    <w:p w:rsidR="00446A06" w:rsidRDefault="00446A06">
      <w:pPr>
        <w:pStyle w:val="ConsPlusNormal"/>
        <w:jc w:val="center"/>
      </w:pPr>
    </w:p>
    <w:p w:rsidR="00446A06" w:rsidRDefault="00446A06">
      <w:pPr>
        <w:pStyle w:val="ConsPlusNormal"/>
        <w:jc w:val="center"/>
        <w:outlineLvl w:val="1"/>
      </w:pPr>
      <w:r>
        <w:t>I. По вопросу заполнения справок о доходах,</w:t>
      </w:r>
    </w:p>
    <w:p w:rsidR="00446A06" w:rsidRDefault="00446A06">
      <w:pPr>
        <w:pStyle w:val="ConsPlusNormal"/>
        <w:jc w:val="center"/>
      </w:pPr>
      <w:r>
        <w:t>об имуществе и обязательствах имущественного характера</w:t>
      </w:r>
    </w:p>
    <w:p w:rsidR="00446A06" w:rsidRDefault="00446A06">
      <w:pPr>
        <w:pStyle w:val="ConsPlusNormal"/>
        <w:jc w:val="center"/>
      </w:pPr>
      <w:r>
        <w:t>государственного служащего, членов его семьи</w:t>
      </w:r>
    </w:p>
    <w:p w:rsidR="00446A06" w:rsidRDefault="00446A06">
      <w:pPr>
        <w:pStyle w:val="ConsPlusNormal"/>
        <w:jc w:val="center"/>
      </w:pPr>
    </w:p>
    <w:p w:rsidR="00446A06" w:rsidRDefault="00446A06">
      <w:pPr>
        <w:pStyle w:val="ConsPlusNormal"/>
        <w:ind w:firstLine="540"/>
        <w:jc w:val="both"/>
      </w:pPr>
      <w:r>
        <w:t xml:space="preserve">1. Подлежат указанию в </w:t>
      </w:r>
      <w:hyperlink r:id="rId5" w:history="1">
        <w:r>
          <w:rPr>
            <w:color w:val="0000FF"/>
          </w:rPr>
          <w:t>подразделе 7.1</w:t>
        </w:r>
      </w:hyperlink>
      <w:r>
        <w:t xml:space="preserve"> "Иные доходы" раздела 1 справки о доходах, об имуществе и обязательствах имущественного характера (далее - справка) следующие социальные (компенсационные) выплаты, связанные с осуществлением трудовой деятельности: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а) возмещение вреда, причиненного увечьем или иным повреждением здоровья;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б) возмещение расходов на повышение профессионального уровня;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в) выплаты, связанные с гибелью государственных служащих;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 xml:space="preserve">г) доплаты к пенсиям, выплачиваемые в соответствии с законодательством Российской </w:t>
      </w:r>
      <w:r>
        <w:lastRenderedPageBreak/>
        <w:t>Федерации и законодательством субъектов Российской Федерации;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д) выплаты, связанные с увольнением с государственной службы (компенсации за неиспользованный отпуск, выходное пособие и т.д);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е) оплата стоимости питания, спортивного снаряжения, оборудования спортивной и парадной формы, получаемых спортсменами и работниками физкультурно-оздоровительных организаций для участия в спортивных соревнованиях;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ж) вознаграждения донорам за сданную кровь, ее компонентов (и иную помощь), при условии возмездной сдачи;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з) суммы полной или частичной компенсации своим работникам и (или) членам их семей, бывшим работникам, уволившимся в связи с выходом на пенсию по инвалидности или по старости, инвалидам,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использовании;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и) суммы, уплаченные общественными организациями за лечение, медицинское обслуживание, приобретение лекарственных средств;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 xml:space="preserve">к) единовременные выплаты, срочные пенсионные выплаты, осуществляемые в порядке, установленном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порядке финансирования выплат за счет средств пенсионных накоплений".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 xml:space="preserve">2. Подлежат указанию в </w:t>
      </w:r>
      <w:hyperlink r:id="rId7" w:history="1">
        <w:r>
          <w:rPr>
            <w:color w:val="0000FF"/>
          </w:rPr>
          <w:t>подразделе 7.1</w:t>
        </w:r>
      </w:hyperlink>
      <w:r>
        <w:t xml:space="preserve"> "Иные доходы" раздела 1 справки следующие социальные выплаты (в том числе в виде материальной помощи), предоставляемые: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а) пострадавшим в связи со стихийными бедствиями или другими чрезвычайными обстоятельствами;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б) членам семьи лица, погибшего в результате стихийного бедствия или другого чрезвычайного обстоятельства;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в) членам семьи работника, умершего работника, бывшего работника, вышедшего на пенсию, или работнику, бывшему работнику, вышедшему на пенсию, или в связи со смертью члена (членов) его семьи;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г) пострадавшим от террористических актов на территории Российской Федерации;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д) членам семьи лица, погибшего в результате террористического акта на территории Российской Федерации;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е) благотворительная помощь в денежной форме, оказываемая российскими и иными благотворительными организациями.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 xml:space="preserve">3. Подлежат указанию в </w:t>
      </w:r>
      <w:hyperlink r:id="rId8" w:history="1">
        <w:r>
          <w:rPr>
            <w:color w:val="0000FF"/>
          </w:rPr>
          <w:t>подразделе 7.1</w:t>
        </w:r>
      </w:hyperlink>
      <w:r>
        <w:t xml:space="preserve"> "Иные доходы" раздела 1 справки средства, полученные: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а) в порядке дарения или наследования;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б) от продажи недвижимости и иного имущества;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в) выданные на развитие личного подсобного хозяйства (кроме выданных в виде семян, кормов, минеральных удобрений), страховые суммы, выплаченные при наступлении страхового случая;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lastRenderedPageBreak/>
        <w:t>г) от производства и продажи выращенной в личных подсобных хозяйствах продукции животноводства, растениеводства;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д) от акционерных или других обществ;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е) в качестве денежных призов за участие в мероприятиях (соревнованиях);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ж) от использования денежных средств членов кредитного потребительского кооператива;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з) выплаты от профсоюзных комитетов;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и) в случае утилизации автотранспортного средства (зачета стоимости старого транспортного средства в стоимость при покупке нового) по специальным программам автосалонов.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 xml:space="preserve">4. Подлежат указанию в </w:t>
      </w:r>
      <w:hyperlink r:id="rId9" w:history="1">
        <w:r>
          <w:rPr>
            <w:color w:val="0000FF"/>
          </w:rPr>
          <w:t>подразделах 3</w:t>
        </w:r>
      </w:hyperlink>
      <w:r>
        <w:t xml:space="preserve">, </w:t>
      </w:r>
      <w:hyperlink r:id="rId10" w:history="1">
        <w:r>
          <w:rPr>
            <w:color w:val="0000FF"/>
          </w:rPr>
          <w:t>4 раздела 1</w:t>
        </w:r>
      </w:hyperlink>
      <w:r>
        <w:t xml:space="preserve"> справки следующие суммы, полученные государственными служащими в виде: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а) грантов, предоставляемых для поддержки науки и образования, культуры и искусства в Российской Федерации от международных и иных организаций;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б)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5. Не подлежит отражению в справке информация о наличии: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а) инвестиционных монет;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б) коллекционных монет из драгоценных металлов.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 xml:space="preserve">6. Информация о наличии обезличенного металлического счета (далее - ОМС) подлежит указанию в </w:t>
      </w:r>
      <w:hyperlink r:id="rId11" w:history="1">
        <w:r>
          <w:rPr>
            <w:color w:val="0000FF"/>
          </w:rPr>
          <w:t>разделе 3</w:t>
        </w:r>
      </w:hyperlink>
      <w:r>
        <w:t xml:space="preserve"> "Сведения о денежных средствах, находящихся на счетах в банках и иных кредитных организациях" справки с указанием вида счета и металла, в котором он открыт.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Отражение граммов драгоценного металла в рублевом эквиваленте осуществляется аналогично счетам, открытым в иностранной валюте, остаток на ОМС указывается в рублях по курсу Банка России на отчетную дату (по ценам на 31 декабря отчетного периода).</w:t>
      </w:r>
    </w:p>
    <w:p w:rsidR="00446A06" w:rsidRDefault="00446A06">
      <w:pPr>
        <w:pStyle w:val="ConsPlusNormal"/>
        <w:jc w:val="center"/>
      </w:pPr>
    </w:p>
    <w:p w:rsidR="00446A06" w:rsidRDefault="00446A06">
      <w:pPr>
        <w:pStyle w:val="ConsPlusNormal"/>
        <w:jc w:val="center"/>
        <w:outlineLvl w:val="1"/>
      </w:pPr>
      <w:r>
        <w:t>II. По вопросу проверки достоверности</w:t>
      </w:r>
    </w:p>
    <w:p w:rsidR="00446A06" w:rsidRDefault="00446A06">
      <w:pPr>
        <w:pStyle w:val="ConsPlusNormal"/>
        <w:jc w:val="center"/>
      </w:pPr>
      <w:r>
        <w:t>и полноты сведений о доходах, об имуществе и обязательствах</w:t>
      </w:r>
    </w:p>
    <w:p w:rsidR="00446A06" w:rsidRDefault="00446A06">
      <w:pPr>
        <w:pStyle w:val="ConsPlusNormal"/>
        <w:jc w:val="center"/>
      </w:pPr>
      <w:r>
        <w:t>имущественного характера</w:t>
      </w:r>
    </w:p>
    <w:p w:rsidR="00446A06" w:rsidRDefault="00446A06">
      <w:pPr>
        <w:pStyle w:val="ConsPlusNormal"/>
        <w:jc w:val="center"/>
      </w:pPr>
    </w:p>
    <w:p w:rsidR="00446A06" w:rsidRDefault="00446A06">
      <w:pPr>
        <w:pStyle w:val="ConsPlusNormal"/>
        <w:ind w:firstLine="540"/>
        <w:jc w:val="both"/>
      </w:pPr>
      <w:r>
        <w:t>Необходимость направления запросов о проверке достоверности и полноты представленных сведений в кредитные организации в отношении государственных служащих, членов их семьи, лиц, участвующих в конкурсах на формирование кадрового резерва.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>Решение:</w:t>
      </w:r>
    </w:p>
    <w:p w:rsidR="00446A06" w:rsidRDefault="00446A06">
      <w:pPr>
        <w:pStyle w:val="ConsPlusNormal"/>
        <w:spacing w:before="220"/>
        <w:ind w:firstLine="540"/>
        <w:jc w:val="both"/>
      </w:pPr>
      <w:r>
        <w:t xml:space="preserve">Направление запросов в кредитные организации осуществляется по месту прописки (регистрации) или по фактическому адресу проживания государственного служащего, членов его семьи, лица, участвующего в конкурсе на формирование кадрового резерва. При направлении запросов следует исходить из информации, полученной в соответствии с </w:t>
      </w:r>
      <w:hyperlink r:id="rId12" w:history="1">
        <w:r>
          <w:rPr>
            <w:color w:val="0000FF"/>
          </w:rPr>
          <w:t>пунктом 10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1065. Основанием для осуществления проверки является: достаточная </w:t>
      </w:r>
      <w:r>
        <w:lastRenderedPageBreak/>
        <w:t>информация, представленная в письменном виде в установленном порядке правоохранительными и налоговыми органами, иными государственными органами, органами местного самоуправления и их должностными лицами,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данных органов, ответственными за работу по профилактике коррупционных и иных правонарушений,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палатой Российской Федерации, общероссийскими средствами массовой информации.</w:t>
      </w:r>
    </w:p>
    <w:p w:rsidR="00446A06" w:rsidRDefault="00446A06">
      <w:pPr>
        <w:pStyle w:val="ConsPlusNormal"/>
        <w:ind w:firstLine="540"/>
        <w:jc w:val="both"/>
      </w:pPr>
    </w:p>
    <w:p w:rsidR="00446A06" w:rsidRDefault="00446A06">
      <w:pPr>
        <w:pStyle w:val="ConsPlusNormal"/>
        <w:jc w:val="right"/>
      </w:pPr>
      <w:r>
        <w:t>С.М.НЕЧАЕВА</w:t>
      </w:r>
    </w:p>
    <w:p w:rsidR="00446A06" w:rsidRDefault="00446A06">
      <w:pPr>
        <w:pStyle w:val="ConsPlusNormal"/>
        <w:ind w:firstLine="540"/>
        <w:jc w:val="both"/>
      </w:pPr>
    </w:p>
    <w:p w:rsidR="00446A06" w:rsidRDefault="00446A06">
      <w:pPr>
        <w:pStyle w:val="ConsPlusNormal"/>
        <w:ind w:firstLine="540"/>
        <w:jc w:val="both"/>
      </w:pPr>
    </w:p>
    <w:p w:rsidR="00446A06" w:rsidRDefault="00446A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1" w:name="_GoBack"/>
      <w:bookmarkEnd w:id="1"/>
    </w:p>
    <w:sectPr w:rsidR="00F865A5" w:rsidSect="008D0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06"/>
    <w:rsid w:val="001164AE"/>
    <w:rsid w:val="001768C9"/>
    <w:rsid w:val="00446A06"/>
    <w:rsid w:val="00592705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8EF27-1AAC-4535-8D58-BA811E1B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A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6A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CE36182E2ED75C687E81F0A4FED323DA29F8903FCC5860E5AD5DBCA4D77227B9BE072ADBA4439C9E329D3CC9538095607DCC3D4BD48D17r4X4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CE36182E2ED75C687E81F0A4FED323DA29F8903FCC5860E5AD5DBCA4D77227B9BE072ADBA4439C9E329D3CC9538095607DCC3D4BD48D17r4X4N" TargetMode="External"/><Relationship Id="rId12" Type="http://schemas.openxmlformats.org/officeDocument/2006/relationships/hyperlink" Target="consultantplus://offline/ref=44CE36182E2ED75C687E81F0A4FED323DA29F89036C85860E5AD5DBCA4D77227B9BE072ADBA442999D329D3CC9538095607DCC3D4BD48D17r4X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CE36182E2ED75C687E81F0A4FED323DA27FE973ECF5860E5AD5DBCA4D77227B9BE072ADBA4439898329D3CC9538095607DCC3D4BD48D17r4X4N" TargetMode="External"/><Relationship Id="rId11" Type="http://schemas.openxmlformats.org/officeDocument/2006/relationships/hyperlink" Target="consultantplus://offline/ref=44CE36182E2ED75C687E81F0A4FED323DA29F8903FCC5860E5AD5DBCA4D77227B9BE072ADBA4429998329D3CC9538095607DCC3D4BD48D17r4X4N" TargetMode="External"/><Relationship Id="rId5" Type="http://schemas.openxmlformats.org/officeDocument/2006/relationships/hyperlink" Target="consultantplus://offline/ref=44CE36182E2ED75C687E81F0A4FED323DA29F8903FCC5860E5AD5DBCA4D77227B9BE072ADBA4439C9E329D3CC9538095607DCC3D4BD48D17r4X4N" TargetMode="External"/><Relationship Id="rId10" Type="http://schemas.openxmlformats.org/officeDocument/2006/relationships/hyperlink" Target="consultantplus://offline/ref=44CE36182E2ED75C687E81F0A4FED323DA29F8903FCC5860E5AD5DBCA4D77227B9BE072ADBA4439C9A329D3CC9538095607DCC3D4BD48D17r4X4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4CE36182E2ED75C687E81F0A4FED323DA29F8903FCC5860E5AD5DBCA4D77227B9BE072ADBA4439C99329D3CC9538095607DCC3D4BD48D17r4X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2019-08-13T13:23:00Z</dcterms:created>
  <dcterms:modified xsi:type="dcterms:W3CDTF">2019-08-13T13:24:00Z</dcterms:modified>
</cp:coreProperties>
</file>