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D2" w:rsidRDefault="003C36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36D2" w:rsidRDefault="003C36D2">
      <w:pPr>
        <w:pStyle w:val="ConsPlusNormal"/>
        <w:jc w:val="both"/>
        <w:outlineLvl w:val="0"/>
      </w:pPr>
    </w:p>
    <w:p w:rsidR="003C36D2" w:rsidRDefault="003C36D2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3C36D2" w:rsidRDefault="003C36D2">
      <w:pPr>
        <w:pStyle w:val="ConsPlusTitle"/>
        <w:jc w:val="center"/>
      </w:pPr>
    </w:p>
    <w:p w:rsidR="003C36D2" w:rsidRDefault="003C36D2">
      <w:pPr>
        <w:pStyle w:val="ConsPlusTitle"/>
        <w:jc w:val="center"/>
      </w:pPr>
      <w:r>
        <w:t>ПИСЬМО</w:t>
      </w:r>
    </w:p>
    <w:p w:rsidR="003C36D2" w:rsidRDefault="003C36D2">
      <w:pPr>
        <w:pStyle w:val="ConsPlusTitle"/>
        <w:jc w:val="center"/>
      </w:pPr>
      <w:r>
        <w:t>от 21 марта 2016 г. N 18-2/10/П-1526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ind w:firstLine="540"/>
        <w:jc w:val="both"/>
      </w:pPr>
      <w:r>
        <w:t>В соответствии с подпунктом "б" пункта 6 перечня поручений Президента Российской Федерации от 14 ноября 2013 г. N Пр-2689 по итогам заседания Совета при Президенте Российской Федерации по противодействию коррупции 30 октября 2013 г. и подпунктом "а" пункта 2 раздела 1 протокола заседания президиума Совета при Президенте Российской Федерации по противодействию коррупции от 12 ноября 2014 г. N 45 Министерством труда и социальной защиты Российской Федерации проведена работа по определению критериев привлечения к ответственности государственных (муниципальных) служащих за совершение коррупционных правонарушений.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В этой связи на основе предложений федеральных государственных органов и высших органов исполнительной власти субъектов Российской Федерации, поступивших в соответствии с </w:t>
      </w:r>
      <w:hyperlink r:id="rId5" w:history="1">
        <w:r>
          <w:rPr>
            <w:color w:val="0000FF"/>
          </w:rPr>
          <w:t>письмом</w:t>
        </w:r>
      </w:hyperlink>
      <w:r>
        <w:t xml:space="preserve"> Минтруда России от 13 ноября 2015 г. N 18-2/10/П-7073, судебной практики по рассмотрению дел о привлечении к ответственности за совершение коррупционных правонарушений подготовлен </w:t>
      </w:r>
      <w:hyperlink w:anchor="P21" w:history="1">
        <w:r>
          <w:rPr>
            <w:color w:val="0000FF"/>
          </w:rPr>
          <w:t>Обзор</w:t>
        </w:r>
      </w:hyperlink>
      <w:r>
        <w:t xml:space="preserve">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Рекомендуем использовать </w:t>
      </w:r>
      <w:hyperlink w:anchor="P21" w:history="1">
        <w:r>
          <w:rPr>
            <w:color w:val="0000FF"/>
          </w:rPr>
          <w:t>обзор</w:t>
        </w:r>
      </w:hyperlink>
      <w:r>
        <w:t xml:space="preserve"> подразделениям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вместо материалов, направленных вышеуказанным </w:t>
      </w:r>
      <w:hyperlink r:id="rId6" w:history="1">
        <w:r>
          <w:rPr>
            <w:color w:val="0000FF"/>
          </w:rPr>
          <w:t>письмом</w:t>
        </w:r>
      </w:hyperlink>
      <w:r>
        <w:t xml:space="preserve"> Минтруда России.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right"/>
        <w:outlineLvl w:val="0"/>
      </w:pPr>
      <w:r>
        <w:t>Приложение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right"/>
      </w:pPr>
      <w:r>
        <w:t>Подготовлен</w:t>
      </w:r>
    </w:p>
    <w:p w:rsidR="003C36D2" w:rsidRDefault="003C36D2">
      <w:pPr>
        <w:pStyle w:val="ConsPlusNormal"/>
        <w:jc w:val="right"/>
      </w:pPr>
      <w:r>
        <w:t>Министерством труда и социальной</w:t>
      </w:r>
    </w:p>
    <w:p w:rsidR="003C36D2" w:rsidRDefault="003C36D2">
      <w:pPr>
        <w:pStyle w:val="ConsPlusNormal"/>
        <w:jc w:val="right"/>
      </w:pPr>
      <w:r>
        <w:t>защиты Российской Федерации</w:t>
      </w:r>
    </w:p>
    <w:p w:rsidR="003C36D2" w:rsidRDefault="003C36D2">
      <w:pPr>
        <w:pStyle w:val="ConsPlusNormal"/>
        <w:jc w:val="right"/>
      </w:pPr>
      <w:r>
        <w:t>(февраль 2016 г.)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center"/>
      </w:pPr>
      <w:bookmarkStart w:id="0" w:name="P21"/>
      <w:bookmarkEnd w:id="0"/>
      <w:r>
        <w:t>ОБЗОР</w:t>
      </w:r>
    </w:p>
    <w:p w:rsidR="003C36D2" w:rsidRDefault="003C36D2">
      <w:pPr>
        <w:pStyle w:val="ConsPlusNormal"/>
        <w:jc w:val="center"/>
      </w:pPr>
      <w:r>
        <w:t>ПРАКТИКИ ПРИВЛЕЧЕНИЯ К ОТВЕТСТВЕННОСТИ ГОСУДАРСТВЕННЫХ</w:t>
      </w:r>
    </w:p>
    <w:p w:rsidR="003C36D2" w:rsidRDefault="003C36D2">
      <w:pPr>
        <w:pStyle w:val="ConsPlusNormal"/>
        <w:jc w:val="center"/>
      </w:pPr>
      <w:r>
        <w:t>(МУНИЦИПАЛЬНЫХ) СЛУЖАЩИХ ЗА НЕСОБЛЮДЕНИЕ ОГРАНИЧЕНИЙ</w:t>
      </w:r>
    </w:p>
    <w:p w:rsidR="003C36D2" w:rsidRDefault="003C36D2">
      <w:pPr>
        <w:pStyle w:val="ConsPlusNormal"/>
        <w:jc w:val="center"/>
      </w:pPr>
      <w:r>
        <w:t>И ЗАПРЕТОВ, ТРЕБОВАНИЙ О ПРЕДОТВРАЩЕНИИ</w:t>
      </w:r>
    </w:p>
    <w:p w:rsidR="003C36D2" w:rsidRDefault="003C36D2">
      <w:pPr>
        <w:pStyle w:val="ConsPlusNormal"/>
        <w:jc w:val="center"/>
      </w:pPr>
      <w:r>
        <w:t>ИЛИ ОБ УРЕГУЛИРОВАНИИ КОНФЛИКТА ИНТЕРЕСОВ</w:t>
      </w:r>
    </w:p>
    <w:p w:rsidR="003C36D2" w:rsidRDefault="003C36D2">
      <w:pPr>
        <w:pStyle w:val="ConsPlusNormal"/>
        <w:jc w:val="center"/>
      </w:pPr>
      <w:r>
        <w:t>И НЕИСПОЛНЕНИЕ ОБЯЗАННОСТЕЙ, УСТАНОВЛЕННЫХ</w:t>
      </w:r>
    </w:p>
    <w:p w:rsidR="003C36D2" w:rsidRDefault="003C36D2">
      <w:pPr>
        <w:pStyle w:val="ConsPlusNormal"/>
        <w:jc w:val="center"/>
      </w:pPr>
      <w:r>
        <w:t>В ЦЕЛЯХ ПРОТИВОДЕЙСТВИЯ КОРРУПЦИИ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ind w:firstLine="540"/>
        <w:jc w:val="both"/>
      </w:pPr>
      <w:r>
        <w:t xml:space="preserve">1. Настоящий обзор подготовлен по итогам обобщения результатов мониторинга применения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</w:t>
      </w:r>
      <w:r>
        <w:lastRenderedPageBreak/>
        <w:t xml:space="preserve">обязанностей, установленных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о противодействии коррупции (далее - нарушения требований законодательства о противодействии коррупции).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2. Анализ правоприменительной практики государственных (муниципальных) органов показал, что не влечет применения взысканий, поскольку не образует коррупционного проступка:</w:t>
      </w:r>
    </w:p>
    <w:p w:rsidR="003C36D2" w:rsidRDefault="003C36D2">
      <w:pPr>
        <w:pStyle w:val="ConsPlusNormal"/>
        <w:spacing w:before="220"/>
        <w:ind w:firstLine="540"/>
        <w:jc w:val="both"/>
      </w:pPr>
      <w:bookmarkStart w:id="1" w:name="P31"/>
      <w:bookmarkEnd w:id="1"/>
      <w:r>
        <w:t>а) ненадлежащее соблюдение запрета, неисполнение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информации (документов), необходимых для достоверного и полного отражения данных сведений, соблюдению ограничения, запрета, требования о предотвращении или урегулировании конфликта интересов;</w:t>
      </w:r>
    </w:p>
    <w:p w:rsidR="003C36D2" w:rsidRDefault="003C36D2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б) ошибочное (неточное) указание сведений в </w:t>
      </w:r>
      <w:hyperlink r:id="rId8" w:history="1">
        <w:r>
          <w:rPr>
            <w:color w:val="0000FF"/>
          </w:rPr>
          <w:t>справке</w:t>
        </w:r>
      </w:hyperlink>
      <w:r>
        <w:t xml:space="preserve">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</w:t>
      </w:r>
      <w:hyperlink r:id="rId9" w:history="1">
        <w:r>
          <w:rPr>
            <w:color w:val="0000FF"/>
          </w:rPr>
          <w:t>справке 2-НДФЛ</w:t>
        </w:r>
      </w:hyperlink>
      <w:r>
        <w:t>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от служащего.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При этом обстоятельства, указанные в </w:t>
      </w:r>
      <w:hyperlink w:anchor="P3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32" w:history="1">
        <w:r>
          <w:rPr>
            <w:color w:val="0000FF"/>
          </w:rPr>
          <w:t>"б" пункта 2</w:t>
        </w:r>
      </w:hyperlink>
      <w:r>
        <w:t>, отражаются в письменных пояснениях служащего, представляемых в подразделение по профилактике коррупционных и иных правонарушений, или подтверждаются иными документами;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в) заполнение служащим </w:t>
      </w:r>
      <w:hyperlink r:id="rId10" w:history="1">
        <w:r>
          <w:rPr>
            <w:color w:val="0000FF"/>
          </w:rPr>
          <w:t>Справки</w:t>
        </w:r>
      </w:hyperlink>
      <w:r>
        <w:t xml:space="preserve">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заполнению. Например: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некорректное указание почтового адреса (вместо правильного написания "проспект Строителей" или "пр-т Строителей" указывается "пр. Строителей", вместо правильного написания "г. Волгоград" указывается "Волгоград" и т.д.);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некорректное указание наименования, адреса кредитной организации, при правильном предоставлении иной информации по соответствующему разделу Справки (рассмотрены 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"ВТБ 24" указано ВТБ 24, ВТБ и т.п.), при условии, что указанное наименование кредитного учреждения позволяет его достоверно установить;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указание сведений о расходах, о сумме поступивших на счет денежных средств в отсутствие правовых оснований для представления данных сведений;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указание срочных обязательств финансового характера на сумму менее 500 000 рублей;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представление служащим в установленный законодательством срок уточненных и достоверных сведений о доходах, расходах, об имуществе и обязательствах имущественного характера,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3.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неточностей, описок или ошибок, допущенных служащим, в целом не искажающих достоверность представленных сведений, и к их устранению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</w:t>
      </w:r>
      <w:r>
        <w:lastRenderedPageBreak/>
        <w:t xml:space="preserve">когда на титульном листе </w:t>
      </w:r>
      <w:hyperlink r:id="rId11" w:history="1">
        <w:r>
          <w:rPr>
            <w:color w:val="0000FF"/>
          </w:rPr>
          <w:t>Справки</w:t>
        </w:r>
      </w:hyperlink>
      <w:r>
        <w:t xml:space="preserve"> указывается квартира как место регистрации, но в </w:t>
      </w:r>
      <w:hyperlink r:id="rId12" w:history="1">
        <w:r>
          <w:rPr>
            <w:color w:val="0000FF"/>
          </w:rPr>
          <w:t>разделах 3.1</w:t>
        </w:r>
      </w:hyperlink>
      <w:r>
        <w:t xml:space="preserve"> или </w:t>
      </w:r>
      <w:hyperlink r:id="rId13" w:history="1">
        <w:r>
          <w:rPr>
            <w:color w:val="0000FF"/>
          </w:rPr>
          <w:t>6.1</w:t>
        </w:r>
      </w:hyperlink>
      <w:r>
        <w:t xml:space="preserve"> Справки в качестве объекта собственности или объекта, находящегося в пользовании, эта квартира не указана.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4. Согласно положениям федеральных законов, определяющих специфику профессиональной служебной (трудовой) деятельности служащих, за нарушение требований законодательства о противодействии коррупции применяются следующие виды взысканий: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замечание;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б) выговор;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в) строгий выговор (для государственных служащих, замещающих должности военной и правоохранительной службы);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предупреждение о неполном служебном (должностном) соответствии;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д) увольнение с государственной (муниципальной) службы в связи с утратой доверия.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5. При определении конкретного вида взыскания, которое подлежит применению, учитываются следующие установленные законодательством критерии: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характер и тяжесть совершенного нарушения;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б) обстоятельства, при которых совершено нарушение;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предшествующие результаты исполнения служащим своих должностных обязанностей.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6. Анализ правоприменительной практики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в) указания недостоверной цены сделки в </w:t>
      </w:r>
      <w:hyperlink r:id="rId14" w:history="1">
        <w:r>
          <w:rPr>
            <w:color w:val="0000FF"/>
          </w:rPr>
          <w:t>разделе 2</w:t>
        </w:r>
      </w:hyperlink>
      <w:r>
        <w:t xml:space="preserve"> Справки для придания видимости соответствия расходов служащего его доходам;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д) сокрытия информации о фактах получения доходов от продажи имущества по цене существенно выше рыночной;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ж) иных обстоятельств, наличие которых вызвало объективные сомнения в правомерности </w:t>
      </w:r>
      <w:r>
        <w:lastRenderedPageBreak/>
        <w:t>полученных доходов или приобретении на законные доходы имущества, информация о которых была неполной либо недостоверной.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Обзор ситуаций, которые расценивались как значительные проступки, влекущие увольнение служащего в связи с утратой доверия, представлен в </w:t>
      </w:r>
      <w:hyperlink w:anchor="P90" w:history="1">
        <w:r>
          <w:rPr>
            <w:color w:val="0000FF"/>
          </w:rPr>
          <w:t>приложении N 1</w:t>
        </w:r>
      </w:hyperlink>
      <w:r>
        <w:t>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7. Соответствующим руководителем принимались решения об увольнении служащего и в иных случаях, когда тяжесть и обстоятельства допущенного нарушения свидетельствовали об утрате доверия к служащему со стороны руководства.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8. Взыскание в виде замечания применялись к гражданским (муниципальным)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Взыскание в виде замечания или выговора применялись к федеральным государственным служащим, замещающим должности государственной службы иных видов, в случаях малозначительности совершенного ими проступка с обязательным рассмотрением на заседании аттестационной комиссии.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Обзор ситуаций, которые расценивались как малозначительные проступки, приведен в </w:t>
      </w:r>
      <w:hyperlink w:anchor="P128" w:history="1">
        <w:r>
          <w:rPr>
            <w:color w:val="0000FF"/>
          </w:rPr>
          <w:t>приложении N 2</w:t>
        </w:r>
      </w:hyperlink>
      <w:r>
        <w:t>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9.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10. Практика применения взысканий показывает, что в отдельных случаях впервые совершенных несущественных проступков, обзор которых приведен в </w:t>
      </w:r>
      <w:hyperlink w:anchor="P144" w:history="1">
        <w:r>
          <w:rPr>
            <w:color w:val="0000FF"/>
          </w:rPr>
          <w:t>приложении N 3</w:t>
        </w:r>
      </w:hyperlink>
      <w:r>
        <w:t>, и при отсутствии отягчающих обстоятельств взыскания не применялись.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11. Одновременно при принятии решения о применении к служащему взыскания учитывалась характеристика служащего, которая о нем давалась его непосредственным руководителем.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12. Практическая реализация положений законодательства, касающегося привлечения к ответственности за коррупционные правонарушения, свидетельствует, что в качестве смягчающих рассматривались следующие обстоятельства: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совершение служащим нарушения требований законодательства о противодействии коррупции впервые;</w:t>
      </w:r>
    </w:p>
    <w:p w:rsidR="003C36D2" w:rsidRDefault="003C36D2">
      <w:pPr>
        <w:pStyle w:val="ConsPlusNormal"/>
        <w:spacing w:before="220"/>
        <w:ind w:firstLine="540"/>
        <w:jc w:val="both"/>
      </w:pPr>
      <w:bookmarkStart w:id="3" w:name="P70"/>
      <w:bookmarkEnd w:id="3"/>
      <w:r>
        <w:t>б) безукоризненное соблюдение служащим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в)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13. Наличие обстоятельства, указанного в </w:t>
      </w:r>
      <w:hyperlink w:anchor="P70" w:history="1">
        <w:r>
          <w:rPr>
            <w:color w:val="0000FF"/>
          </w:rPr>
          <w:t>подпункте "б" пункта 12</w:t>
        </w:r>
      </w:hyperlink>
      <w:r>
        <w:t xml:space="preserve">, рекомендуется определять </w:t>
      </w:r>
      <w:r>
        <w:lastRenderedPageBreak/>
        <w:t>путем получения у непосредственного руководителя служащего характеризующих его данных.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14. 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15. При наличии смягчающих обстоятельств, как правило, применялось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16. Проведенный анализ выявил, что к отягчающим обстоятельствам были отнесены только следующие: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б) одновременное нарушение двух и более требований законодательства о противодействии коррупции;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в) наличие неснятого дисциплинарного взыскания;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17. При наличии отягчающих обстоятельств отмечено применение взыскания, следующего по степени строгости взысканию, которое было бы применено в случае совершения такого нарушения в отсутствие отягчающих обстоятельств.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18. Анализ документального оформления дисциплинарной практики государственных (муниципальных) органов показывает, что в докладе подразделения по итогам проверки, а в случае, если доклад рассматривался на заседании комиссии - также в решении комиссии содержатся обоснования решения, предлагаемого к принятию руководителем, исходя из анализа нарушения требований законодательства о противодействии коррупции.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right"/>
        <w:outlineLvl w:val="1"/>
      </w:pPr>
      <w:r>
        <w:t>Приложение N 1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center"/>
      </w:pPr>
      <w:bookmarkStart w:id="4" w:name="P90"/>
      <w:bookmarkEnd w:id="4"/>
      <w:r>
        <w:t>ОБЗОР</w:t>
      </w:r>
    </w:p>
    <w:p w:rsidR="003C36D2" w:rsidRDefault="003C36D2">
      <w:pPr>
        <w:pStyle w:val="ConsPlusNormal"/>
        <w:jc w:val="center"/>
      </w:pPr>
      <w:r>
        <w:t>СИТУАЦИЙ, КОТОРЫЕ РАСЦЕНИВАЛИСЬ КАК ЗНАЧИТЕЛЬНЫЕ ПРОСТУПКИ,</w:t>
      </w:r>
    </w:p>
    <w:p w:rsidR="003C36D2" w:rsidRDefault="003C36D2">
      <w:pPr>
        <w:pStyle w:val="ConsPlusNormal"/>
        <w:jc w:val="center"/>
      </w:pPr>
      <w:r>
        <w:t>ВЛЕКУЩИЕ УВОЛЬНЕНИЕ ГОСУДАРСТВЕННОГО (МУНИЦИПАЛЬНОГО)</w:t>
      </w:r>
    </w:p>
    <w:p w:rsidR="003C36D2" w:rsidRDefault="003C36D2">
      <w:pPr>
        <w:pStyle w:val="ConsPlusNormal"/>
        <w:jc w:val="center"/>
      </w:pPr>
      <w:r>
        <w:t>СЛУЖАЩЕГО В СВЯЗИ С УТРАТОЙ ДОВЕРИЯ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ind w:firstLine="540"/>
        <w:jc w:val="both"/>
      </w:pPr>
      <w:r>
        <w:t>1. Не представлены сведения о своих доходах, расходах, имуществе, обязательствах имущественного характера.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2. 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3.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осуществлялось, </w:t>
      </w:r>
      <w:r>
        <w:lastRenderedPageBreak/>
        <w:t>например, путем: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а) неуказания соответствующих сведений о расходах в </w:t>
      </w:r>
      <w:hyperlink r:id="rId16" w:history="1">
        <w:r>
          <w:rPr>
            <w:color w:val="0000FF"/>
          </w:rPr>
          <w:t>разделе 2</w:t>
        </w:r>
      </w:hyperlink>
      <w:r>
        <w:t xml:space="preserve"> Справки и одновременного неуказания сведений о приобретенном имуществе в </w:t>
      </w:r>
      <w:hyperlink r:id="rId17" w:history="1">
        <w:r>
          <w:rPr>
            <w:color w:val="0000FF"/>
          </w:rPr>
          <w:t>разделе 3</w:t>
        </w:r>
      </w:hyperlink>
      <w:r>
        <w:t xml:space="preserve"> и (или) в </w:t>
      </w:r>
      <w:hyperlink r:id="rId18" w:history="1">
        <w:r>
          <w:rPr>
            <w:color w:val="0000FF"/>
          </w:rPr>
          <w:t>разделе 5</w:t>
        </w:r>
      </w:hyperlink>
      <w:r>
        <w:t xml:space="preserve"> Справки;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б) неуказания соответствующих сведений о расходах в </w:t>
      </w:r>
      <w:hyperlink r:id="rId19" w:history="1">
        <w:r>
          <w:rPr>
            <w:color w:val="0000FF"/>
          </w:rPr>
          <w:t>разделе 2</w:t>
        </w:r>
      </w:hyperlink>
      <w:r>
        <w:t xml:space="preserve"> Справки, при том, что сведения о появившемся в отчетном периоде имуществе указаны в </w:t>
      </w:r>
      <w:hyperlink r:id="rId20" w:history="1">
        <w:r>
          <w:rPr>
            <w:color w:val="0000FF"/>
          </w:rPr>
          <w:t>разделе 3</w:t>
        </w:r>
      </w:hyperlink>
      <w:r>
        <w:t xml:space="preserve"> и (или) в </w:t>
      </w:r>
      <w:hyperlink r:id="rId21" w:history="1">
        <w:r>
          <w:rPr>
            <w:color w:val="0000FF"/>
          </w:rPr>
          <w:t>разделе 5</w:t>
        </w:r>
      </w:hyperlink>
      <w:r>
        <w:t xml:space="preserve"> Справки.</w:t>
      </w:r>
    </w:p>
    <w:p w:rsidR="003C36D2" w:rsidRDefault="003C3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3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6D2" w:rsidRDefault="003C36D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36D2" w:rsidRDefault="003C36D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C36D2" w:rsidRDefault="003C36D2">
      <w:pPr>
        <w:pStyle w:val="ConsPlusNormal"/>
        <w:spacing w:before="280"/>
        <w:ind w:firstLine="540"/>
        <w:jc w:val="both"/>
      </w:pPr>
      <w:r>
        <w:t>5. Сокрыт банковский счет, движение денежных средств по которому в течение отчетного года не было объяснено исходя из доходов служащего.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6. Представлены недостоверные сведения, способствующие сокрытию информации о наличии конфликта интересов, в том числе: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в) 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г) о наличии в собственности у служащего и (или) его супруги (супруга) и несовершеннолетнего ребенка ценных бумаг организации, в отношении которой служащий выполняет функции государственного (муниципального) управления;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д) о появлении в собственности у служащего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7. Представление недостоверных сведений, способствующих сокрытию информации о нарушении запретов, например: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а) о получении служащим дохода от предпринимательской деятельности;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б) о владении акциями, долями участия в коммерческих организациях, при том, что служащий фактически участвует в управлении этой коммерческой организацией;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в) для лиц, указанных в </w:t>
      </w:r>
      <w:hyperlink r:id="rId22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о владении (пользовании) иностранными финансовыми инструментами;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о наличии счета (счетов) в иностранном(ых) банке (банках).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lastRenderedPageBreak/>
        <w:t>8. Сокрытие сведений о находящемся в собственности недвижимом имуществе, расположенном за пределами Российской Федерации.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9.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10. 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11. 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12. Указание в </w:t>
      </w:r>
      <w:hyperlink r:id="rId23" w:history="1">
        <w:r>
          <w:rPr>
            <w:color w:val="0000FF"/>
          </w:rPr>
          <w:t>разделе 2</w:t>
        </w:r>
      </w:hyperlink>
      <w:r>
        <w:t xml:space="preserve">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13.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right"/>
        <w:outlineLvl w:val="1"/>
      </w:pPr>
      <w:r>
        <w:t>Приложение N 2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center"/>
      </w:pPr>
      <w:bookmarkStart w:id="5" w:name="P128"/>
      <w:bookmarkEnd w:id="5"/>
      <w:r>
        <w:t>ОБЗОР</w:t>
      </w:r>
    </w:p>
    <w:p w:rsidR="003C36D2" w:rsidRDefault="003C36D2">
      <w:pPr>
        <w:pStyle w:val="ConsPlusNormal"/>
        <w:jc w:val="center"/>
      </w:pPr>
      <w:r>
        <w:t>СИТУАЦИЙ, КОТОРЫЕ РАСЦЕНИВАЛИСЬ</w:t>
      </w:r>
    </w:p>
    <w:p w:rsidR="003C36D2" w:rsidRDefault="003C36D2">
      <w:pPr>
        <w:pStyle w:val="ConsPlusNormal"/>
        <w:jc w:val="center"/>
      </w:pPr>
      <w:r>
        <w:t>КАК МАЛОЗНАЧИТЕЛЬНЫЕ ПРОСТУПКИ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ind w:firstLine="540"/>
        <w:jc w:val="both"/>
      </w:pPr>
      <w:r>
        <w:t>1. Не указан доход от преподавательской, научной и иной творческой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управления, сумма которого не превышает 10 000 рублей, при условии, что государственный служащий надлежащим образом уведомил о выполнении иной оплачиваемой работы.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3. Не представлены сведения о доходе от вклада в банке, сумма которого не превышает 10 000 рублей, если она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4. Не указаны сведения о ветхом частном доме, расположенном в среднестатистическом (район типовой застройки жильем эконом-класса) дачном некоммерческом товариществе, при общем доходе семьи служащего из трех человек менее 1,5 млн. рублей в год.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5. Служащим повторно совершены несущественные проступки.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right"/>
        <w:outlineLvl w:val="1"/>
      </w:pPr>
      <w:r>
        <w:t>Приложение N 3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center"/>
      </w:pPr>
      <w:bookmarkStart w:id="6" w:name="P144"/>
      <w:bookmarkEnd w:id="6"/>
      <w:r>
        <w:t>ОБЗОР</w:t>
      </w:r>
    </w:p>
    <w:p w:rsidR="003C36D2" w:rsidRDefault="003C36D2">
      <w:pPr>
        <w:pStyle w:val="ConsPlusNormal"/>
        <w:jc w:val="center"/>
      </w:pPr>
      <w:r>
        <w:t>СИТУАЦИЙ, КОТОРЫЕ РАСЦЕНИВАЛИСЬ</w:t>
      </w:r>
    </w:p>
    <w:p w:rsidR="003C36D2" w:rsidRDefault="003C36D2">
      <w:pPr>
        <w:pStyle w:val="ConsPlusNormal"/>
        <w:jc w:val="center"/>
      </w:pPr>
      <w:r>
        <w:t>КАК НЕСУЩЕСТВЕННЫЕ ПРОСТУПКИ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ind w:firstLine="540"/>
        <w:jc w:val="both"/>
      </w:pPr>
      <w:r>
        <w:t xml:space="preserve">1. Разница при суммировании всех доходов в </w:t>
      </w:r>
      <w:hyperlink r:id="rId24" w:history="1">
        <w:r>
          <w:rPr>
            <w:color w:val="0000FF"/>
          </w:rPr>
          <w:t>разделе 1</w:t>
        </w:r>
      </w:hyperlink>
      <w:r>
        <w:t xml:space="preserve"> Справки не превышает 10 000 рублей от фактически полученного дохода.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2. 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4.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5.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6.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7.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8. 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>9. Не указаны сведения о банковских счетах, вкладах, остаток денежных средств на которых не превышает 1 000 рублей, при этом движение денежных средств по счету в отчетном периоде не осуществлялось.</w:t>
      </w:r>
    </w:p>
    <w:p w:rsidR="003C36D2" w:rsidRDefault="003C36D2">
      <w:pPr>
        <w:pStyle w:val="ConsPlusNormal"/>
        <w:spacing w:before="220"/>
        <w:ind w:firstLine="540"/>
        <w:jc w:val="both"/>
      </w:pPr>
      <w:r>
        <w:t xml:space="preserve">10.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</w:t>
      </w:r>
      <w:r>
        <w:lastRenderedPageBreak/>
        <w:t>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jc w:val="both"/>
      </w:pPr>
    </w:p>
    <w:p w:rsidR="003C36D2" w:rsidRDefault="003C3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7" w:name="_GoBack"/>
      <w:bookmarkEnd w:id="7"/>
    </w:p>
    <w:sectPr w:rsidR="00F865A5" w:rsidSect="002C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D2"/>
    <w:rsid w:val="001164AE"/>
    <w:rsid w:val="001768C9"/>
    <w:rsid w:val="003C36D2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A581-A36B-4D84-84C3-65AC26D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70B999371561B136970ED682E15B91502AF91AAB6A47A698FA72EFA4E5E1038D84C84CD7D0EA866663EF7AEBE5162ED667ECAAEC7F902d3T6O" TargetMode="External"/><Relationship Id="rId13" Type="http://schemas.openxmlformats.org/officeDocument/2006/relationships/hyperlink" Target="consultantplus://offline/ref=32370B999371561B136970ED682E15B91502AF91AAB6A47A698FA72EFA4E5E1038D84C84CD7D0CAF62663EF7AEBE5162ED667ECAAEC7F902d3T6O" TargetMode="External"/><Relationship Id="rId18" Type="http://schemas.openxmlformats.org/officeDocument/2006/relationships/hyperlink" Target="consultantplus://offline/ref=32370B999371561B136970ED682E15B91502AF91AAB6A47A698FA72EFA4E5E1038D84C84CD7D0FA562663EF7AEBE5162ED667ECAAEC7F902d3T6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370B999371561B136970ED682E15B91502AF91AAB6A47A698FA72EFA4E5E1038D84C84CD7D0FA562663EF7AEBE5162ED667ECAAEC7F902d3T6O" TargetMode="External"/><Relationship Id="rId7" Type="http://schemas.openxmlformats.org/officeDocument/2006/relationships/hyperlink" Target="consultantplus://offline/ref=32370B999371561B136970ED682E15B91404A698ABB7A47A698FA72EFA4E5E102AD81488CC7E10AC6B7368A6EBdET2O" TargetMode="External"/><Relationship Id="rId12" Type="http://schemas.openxmlformats.org/officeDocument/2006/relationships/hyperlink" Target="consultantplus://offline/ref=32370B999371561B136970ED682E15B91502AF91AAB6A47A698FA72EFA4E5E1038D84C84CD7D0FAC66663EF7AEBE5162ED667ECAAEC7F902d3T6O" TargetMode="External"/><Relationship Id="rId17" Type="http://schemas.openxmlformats.org/officeDocument/2006/relationships/hyperlink" Target="consultantplus://offline/ref=32370B999371561B136970ED682E15B91502AF91AAB6A47A698FA72EFA4E5E1038D84C84CD7D0FAC67663EF7AEBE5162ED667ECAAEC7F902d3T6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370B999371561B136970ED682E15B91502AF91AAB6A47A698FA72EFA4E5E1038D84C84CD7D0EAB60663EF7AEBE5162ED667ECAAEC7F902d3T6O" TargetMode="External"/><Relationship Id="rId20" Type="http://schemas.openxmlformats.org/officeDocument/2006/relationships/hyperlink" Target="consultantplus://offline/ref=32370B999371561B136970ED682E15B91502AF91AAB6A47A698FA72EFA4E5E1038D84C84CD7D0FAC67663EF7AEBE5162ED667ECAAEC7F902d3T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70B999371561B136970ED682E15B9160DAF9FACBBA47A698FA72EFA4E5E102AD81488CC7E10AC6B7368A6EBdET2O" TargetMode="External"/><Relationship Id="rId11" Type="http://schemas.openxmlformats.org/officeDocument/2006/relationships/hyperlink" Target="consultantplus://offline/ref=32370B999371561B136970ED682E15B91502AF91AAB6A47A698FA72EFA4E5E1038D84C84CD7D0EA866663EF7AEBE5162ED667ECAAEC7F902d3T6O" TargetMode="External"/><Relationship Id="rId24" Type="http://schemas.openxmlformats.org/officeDocument/2006/relationships/hyperlink" Target="consultantplus://offline/ref=32370B999371561B136970ED682E15B91502AF91AAB6A47A698FA72EFA4E5E1038D84C84CD7D0EA86A663EF7AEBE5162ED667ECAAEC7F902d3T6O" TargetMode="External"/><Relationship Id="rId5" Type="http://schemas.openxmlformats.org/officeDocument/2006/relationships/hyperlink" Target="consultantplus://offline/ref=32370B999371561B136970ED682E15B9160DAF9FACBBA47A698FA72EFA4E5E102AD81488CC7E10AC6B7368A6EBdET2O" TargetMode="External"/><Relationship Id="rId15" Type="http://schemas.openxmlformats.org/officeDocument/2006/relationships/hyperlink" Target="consultantplus://offline/ref=32370B999371561B136970ED682E15B91405A29CAFB0A47A698FA72EFA4E5E102AD81488CC7E10AC6B7368A6EBdET2O" TargetMode="External"/><Relationship Id="rId23" Type="http://schemas.openxmlformats.org/officeDocument/2006/relationships/hyperlink" Target="consultantplus://offline/ref=32370B999371561B136970ED682E15B91502AF91AAB6A47A698FA72EFA4E5E1038D84C84CD7D0EAB60663EF7AEBE5162ED667ECAAEC7F902d3T6O" TargetMode="External"/><Relationship Id="rId10" Type="http://schemas.openxmlformats.org/officeDocument/2006/relationships/hyperlink" Target="consultantplus://offline/ref=32370B999371561B136970ED682E15B91502AF91AAB6A47A698FA72EFA4E5E1038D84C84CD7D0EA866663EF7AEBE5162ED667ECAAEC7F902d3T6O" TargetMode="External"/><Relationship Id="rId19" Type="http://schemas.openxmlformats.org/officeDocument/2006/relationships/hyperlink" Target="consultantplus://offline/ref=32370B999371561B136970ED682E15B91502AF91AAB6A47A698FA72EFA4E5E1038D84C84CD7D0EAB60663EF7AEBE5162ED667ECAAEC7F902d3T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370B999371561B136970ED682E15B91405AF9DA0B2A47A698FA72EFA4E5E1038D84C84CD7D0EAE6B663EF7AEBE5162ED667ECAAEC7F902d3T6O" TargetMode="External"/><Relationship Id="rId14" Type="http://schemas.openxmlformats.org/officeDocument/2006/relationships/hyperlink" Target="consultantplus://offline/ref=32370B999371561B136970ED682E15B91502AF91AAB6A47A698FA72EFA4E5E1038D84C84CD7D0EAB60663EF7AEBE5162ED667ECAAEC7F902d3T6O" TargetMode="External"/><Relationship Id="rId22" Type="http://schemas.openxmlformats.org/officeDocument/2006/relationships/hyperlink" Target="consultantplus://offline/ref=32370B999371561B136970ED682E15B91407A299AEB4A47A698FA72EFA4E5E1038D84C84CD7D0EAD62663EF7AEBE5162ED667ECAAEC7F902d3T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2019-08-13T14:19:00Z</dcterms:created>
  <dcterms:modified xsi:type="dcterms:W3CDTF">2019-08-13T14:20:00Z</dcterms:modified>
</cp:coreProperties>
</file>