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0B26A9" w:rsidRDefault="000B26A9" w:rsidP="000B26A9">
      <w:pPr>
        <w:ind w:left="-567" w:firstLine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B26A9">
        <w:rPr>
          <w:rFonts w:asciiTheme="minorHAnsi" w:hAnsiTheme="minorHAnsi" w:cstheme="minorHAnsi"/>
          <w:b/>
          <w:color w:val="auto"/>
          <w:sz w:val="28"/>
          <w:szCs w:val="28"/>
        </w:rPr>
        <w:t xml:space="preserve">Информация о результатах экспертно-аналитического мероприятия «Анализ эффективности поддержки муниципальных образований, осуществляемой в форме дотаций бюджетам </w:t>
      </w:r>
    </w:p>
    <w:p w:rsidR="000B26A9" w:rsidRPr="000B26A9" w:rsidRDefault="000B26A9" w:rsidP="000B26A9">
      <w:pPr>
        <w:ind w:left="-567" w:firstLine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B26A9">
        <w:rPr>
          <w:rFonts w:asciiTheme="minorHAnsi" w:hAnsiTheme="minorHAnsi" w:cstheme="minorHAnsi"/>
          <w:b/>
          <w:color w:val="auto"/>
          <w:sz w:val="28"/>
          <w:szCs w:val="28"/>
        </w:rPr>
        <w:t>муниципальных образований Орловской области»</w:t>
      </w:r>
    </w:p>
    <w:p w:rsidR="000B26A9" w:rsidRPr="000B26A9" w:rsidRDefault="000B26A9" w:rsidP="000B26A9">
      <w:pPr>
        <w:ind w:firstLine="709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9812D0" w:rsidRDefault="005F4D54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В соответствии с пунктом </w:t>
      </w:r>
      <w:r w:rsidR="003E2B7D">
        <w:rPr>
          <w:rFonts w:asciiTheme="minorHAnsi" w:hAnsiTheme="minorHAnsi" w:cstheme="minorHAnsi"/>
          <w:color w:val="auto"/>
          <w:sz w:val="28"/>
          <w:szCs w:val="28"/>
        </w:rPr>
        <w:t>3.2.</w:t>
      </w:r>
      <w:r w:rsidR="003562BD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3E2B7D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 Плана деятельности Контрольно-счетной палаты Орловской области на 201</w:t>
      </w:r>
      <w:r w:rsidR="003E2B7D">
        <w:rPr>
          <w:rFonts w:asciiTheme="minorHAnsi" w:hAnsiTheme="minorHAnsi" w:cstheme="minorHAnsi"/>
          <w:color w:val="auto"/>
          <w:sz w:val="28"/>
          <w:szCs w:val="28"/>
        </w:rPr>
        <w:t>9</w:t>
      </w: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 год было проведено экспертно-аналитическое м</w:t>
      </w:r>
      <w:r w:rsidR="009812D0"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ероприятие </w:t>
      </w:r>
      <w:bookmarkStart w:id="0" w:name="_GoBack"/>
      <w:r w:rsidR="003562BD" w:rsidRPr="003562BD">
        <w:rPr>
          <w:rFonts w:asciiTheme="minorHAnsi" w:hAnsiTheme="minorHAnsi" w:cstheme="minorHAnsi"/>
          <w:color w:val="auto"/>
          <w:sz w:val="28"/>
          <w:szCs w:val="28"/>
        </w:rPr>
        <w:t>«Анализ эффективности поддержки муниципальных образований, осуществляемой в форме дотаций бюджетам муниципальных образований Орловской области»</w:t>
      </w:r>
      <w:bookmarkEnd w:id="0"/>
      <w:r w:rsidR="009812D0" w:rsidRPr="00B86CFF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D551E" w:rsidRPr="00B86CFF" w:rsidRDefault="00DD551E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Объектами экспертно-аналитического мероприятия являлись муниципальные образования Орловской области.</w:t>
      </w:r>
    </w:p>
    <w:p w:rsidR="003E2B7D" w:rsidRDefault="004C0F1B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F1B">
        <w:rPr>
          <w:rFonts w:ascii="Times New Roman" w:hAnsi="Times New Roman" w:cs="Times New Roman"/>
          <w:color w:val="auto"/>
          <w:sz w:val="28"/>
          <w:szCs w:val="28"/>
        </w:rPr>
        <w:t>В ходе экспертно-аналитическо</w:t>
      </w:r>
      <w:r w:rsidR="003E2B7D">
        <w:rPr>
          <w:rFonts w:ascii="Times New Roman" w:hAnsi="Times New Roman" w:cs="Times New Roman"/>
          <w:color w:val="auto"/>
          <w:sz w:val="28"/>
          <w:szCs w:val="28"/>
        </w:rPr>
        <w:t>го мероприятия было установлено следующее.</w:t>
      </w:r>
    </w:p>
    <w:p w:rsidR="00B42B9E" w:rsidRPr="00DD13B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Бюджетным законодательством Российской Федерации предусмотрены формы, порядок и условия предоставления межбюджетных трансфертов в соответствии с едиными принципами и требованиями, установленными Бюджетным кодексом Российской Федерации. Федеральным законодательством установлены единые требования к методике выравнивания бюджетной обеспеченности муниципальных образований органами государственной власти субъектов Российской Федерации.</w:t>
      </w:r>
    </w:p>
    <w:p w:rsidR="00B42B9E" w:rsidRPr="00DD13B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Предоставление финансовых сре</w:t>
      </w:r>
      <w:proofErr w:type="gram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дств в в</w:t>
      </w:r>
      <w:proofErr w:type="gram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иде дотаций и закрепления нормативов отчисления от налогов способствует увеличению объема доходов местных бюджетов, которые органы местного самоуправления могут направить на финансовое обеспечение расходов в соответствии с собственными приоритетами.</w:t>
      </w:r>
    </w:p>
    <w:p w:rsidR="00B42B9E" w:rsidRPr="00DD13B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Департаментом финансов Орловской области осуществлен расчет и распределение дотаций на выравнивание бюджетной обеспеченности муниципальных районов (городских округов) на 2017-2019 годы в соответствии с Порядком и Методикой распределения дотаций на выравнивание бюджетной обеспеченности муниципальных районов (городских округов), утвержденной Законом Орловской области от 26.12.2005 № 562-ОЗ «О межбюджетных отношениях в Орловской области».</w:t>
      </w:r>
    </w:p>
    <w:p w:rsidR="00B42B9E" w:rsidRPr="00DD13B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Законом об областном бюджете на 2018 год утверждены бюджетные ассигнования на предоставление из бюджета Орловской области бюджетам муниципальных районов (городских округов) дотаций на выравнивание бюджетной обеспеченности муниципальных районов в сумме 752 033 тыс. рублей (2017 год – 769 576,0 тыс. рублей).</w:t>
      </w:r>
    </w:p>
    <w:p w:rsidR="00B42B9E" w:rsidRPr="00DD13BE" w:rsidRDefault="00B42B9E" w:rsidP="00B42B9E">
      <w:pPr>
        <w:widowControl w:val="0"/>
        <w:tabs>
          <w:tab w:val="left" w:pos="706"/>
        </w:tabs>
        <w:suppressAutoHyphens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Перечисление дотаций на выравнивание из бюджета Орловской области бюджетам муниципальных районов (городских округов) за 9 месяцев 2019 года составило 740 713,3 тыс. рублей, или 91,5 процента от бюджетных ассигнований, предусмотренных законом об областном  бюджете на 2019 год и сводной бюджетной росписью на 2019 год.</w:t>
      </w:r>
    </w:p>
    <w:p w:rsidR="00B42B9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2018 году на 10 муниципальных районов (41,6 % от числа всех районов) было распространено действие пункта 4 статьи 136 БК РФ. В 2019 году  высокодотационными являлись 6 муниципальных районов </w:t>
      </w: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>(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Глазуновский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район, Дмитровский район, 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Залегощенский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район, Знаменский район, 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Троснянский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 и 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Шаблыкинский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район).</w:t>
      </w:r>
    </w:p>
    <w:p w:rsidR="00B42B9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Анализ выполнения условий соглашений, заключенных между Департаментом финансов Орловской области и муниципальными образованиями Орловской области, о мерах по повышению эффективности использования бюджетных средств и увеличению поступлений налоговых и неналоговых доходов местных бюджетов показал, что муниципальными образованиями допускалось неисполнение отдельных условий предоставления межбюджетных трансфертов, а именно, не обеспечивалось снижение объема кредиторской задолженности консолидированного бюджета в 2018 году не менее</w:t>
      </w:r>
      <w:proofErr w:type="gram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proofErr w:type="gram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чем на 10 процентов (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Новодеревеньковский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Залегощенский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 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Троснянский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районы); допускалось увеличение задолженности по оплате коммунальных услуг (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Залегощенский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 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Троснянский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районы); не обеспечено сокращение объема недоимки по платежам в бюджет (</w:t>
      </w:r>
      <w:proofErr w:type="spellStart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Троснянский</w:t>
      </w:r>
      <w:proofErr w:type="spellEnd"/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район).</w:t>
      </w:r>
    </w:p>
    <w:p w:rsidR="00B42B9E" w:rsidRPr="00DD13BE" w:rsidRDefault="00B42B9E" w:rsidP="00B42B9E">
      <w:pPr>
        <w:pStyle w:val="ad"/>
        <w:widowControl w:val="0"/>
        <w:numPr>
          <w:ilvl w:val="0"/>
          <w:numId w:val="15"/>
        </w:numPr>
        <w:tabs>
          <w:tab w:val="left" w:pos="70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sz w:val="28"/>
          <w:szCs w:val="28"/>
          <w:lang w:eastAsia="en-US"/>
        </w:rPr>
        <w:t>Дотация на поддержку мер по обеспечению сбалансированности местных бюджетов является дополнительным по отношению к дотациям на выравнивание бюджетной обеспеченности и становится актуальным, если происходят изменения в разграничении расходных обязательств или доходных источников, которые не удалось отразить при расчете объема дотаций на выравнивание бюджетной обеспеченности.</w:t>
      </w:r>
    </w:p>
    <w:p w:rsidR="00B42B9E" w:rsidRPr="00DD13BE" w:rsidRDefault="00B42B9E" w:rsidP="00B42B9E">
      <w:pPr>
        <w:widowControl w:val="0"/>
        <w:tabs>
          <w:tab w:val="left" w:pos="706"/>
          <w:tab w:val="left" w:pos="1134"/>
        </w:tabs>
        <w:suppressAutoHyphens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Перечисление бюджетных средств в местные бюджеты в виде дотации на сбалансированность в 2018 году составило в сумме 671 831,4 тыс. рублей. По сравнению с 2017 годом в 2018 году исполнение бюджета по расходам в части дотации на сбалансированность в 4,7 раза превышает аналогичный показатель 2017 года. </w:t>
      </w:r>
    </w:p>
    <w:p w:rsidR="00B42B9E" w:rsidRPr="00DD13BE" w:rsidRDefault="00B42B9E" w:rsidP="00B42B9E">
      <w:pPr>
        <w:widowControl w:val="0"/>
        <w:tabs>
          <w:tab w:val="left" w:pos="706"/>
          <w:tab w:val="left" w:pos="1134"/>
        </w:tabs>
        <w:suppressAutoHyphens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DD13BE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За 9 месяцев 2019 года объем указанных бюджетных ассигнований увеличился на 2 031,4 тыс. рублей и составил 266 002,8 тыс. рублей. Исполнение по расходам в части дотаций на сбалансированность за 9 месяцев 2019 года составило 254 975,5 тыс. рублей или 95,9 % от бюджетных ассигнований, предусмотренных законом об областном бюджете на 2019 год.</w:t>
      </w:r>
    </w:p>
    <w:p w:rsidR="00703197" w:rsidRPr="008615C5" w:rsidRDefault="00703197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5C5">
        <w:rPr>
          <w:rFonts w:ascii="Times New Roman" w:hAnsi="Times New Roman" w:cs="Times New Roman"/>
          <w:color w:val="auto"/>
          <w:sz w:val="28"/>
          <w:szCs w:val="28"/>
        </w:rPr>
        <w:t xml:space="preserve">Итоги </w:t>
      </w:r>
      <w:r w:rsidR="008615C5" w:rsidRPr="008615C5">
        <w:rPr>
          <w:rFonts w:ascii="Times New Roman" w:hAnsi="Times New Roman" w:cs="Times New Roman"/>
          <w:color w:val="auto"/>
          <w:sz w:val="28"/>
          <w:szCs w:val="28"/>
        </w:rPr>
        <w:t>экспертно-аналитического</w:t>
      </w:r>
      <w:r w:rsidRPr="008615C5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рассмотрены на заседании Коллегии Контрольно-счетной палаты Орловской области. </w:t>
      </w:r>
    </w:p>
    <w:p w:rsidR="00D55F2B" w:rsidRPr="008615C5" w:rsidRDefault="007A63DF" w:rsidP="00D767EB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8615C5" w:rsidRPr="008615C5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экспертно-аналитического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мероприятия направлена </w:t>
      </w:r>
      <w:r w:rsidR="00282A55" w:rsidRPr="008615C5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Л.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С. </w:t>
      </w:r>
      <w:proofErr w:type="spellStart"/>
      <w:r w:rsidRPr="008615C5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8615C5">
        <w:rPr>
          <w:rFonts w:asciiTheme="minorHAnsi" w:hAnsiTheme="minorHAnsi" w:cstheme="minorHAnsi"/>
          <w:color w:val="auto"/>
        </w:rPr>
        <w:t xml:space="preserve"> </w:t>
      </w:r>
    </w:p>
    <w:p w:rsidR="004C0F1B" w:rsidRPr="004C0F1B" w:rsidRDefault="004C0F1B" w:rsidP="004C0F1B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DA5E40" w:rsidRPr="00282A55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282A55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E2" w:rsidRDefault="00114AE2" w:rsidP="00870134">
      <w:r>
        <w:separator/>
      </w:r>
    </w:p>
  </w:endnote>
  <w:endnote w:type="continuationSeparator" w:id="0">
    <w:p w:rsidR="00114AE2" w:rsidRDefault="00114AE2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E2" w:rsidRDefault="00114AE2" w:rsidP="00870134">
      <w:r>
        <w:separator/>
      </w:r>
    </w:p>
  </w:footnote>
  <w:footnote w:type="continuationSeparator" w:id="0">
    <w:p w:rsidR="00114AE2" w:rsidRDefault="00114AE2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7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701E6"/>
    <w:multiLevelType w:val="hybridMultilevel"/>
    <w:tmpl w:val="213C5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28AD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F1B"/>
    <w:rsid w:val="000572C4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6A9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AE2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25E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27D3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62BD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2B7D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25A9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AFD"/>
    <w:rsid w:val="00563D46"/>
    <w:rsid w:val="005665C8"/>
    <w:rsid w:val="00567D21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20CC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B6E42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15C5"/>
    <w:rsid w:val="008630DD"/>
    <w:rsid w:val="00863685"/>
    <w:rsid w:val="00863AA5"/>
    <w:rsid w:val="00863DB7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0E16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D0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2B9E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B01"/>
    <w:rsid w:val="00CF1ED7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D551E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2E7"/>
    <w:rsid w:val="00F9434E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458F-0C7F-4896-9A91-A1EF78DE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2018-12-20T08:34:00Z</cp:lastPrinted>
  <dcterms:created xsi:type="dcterms:W3CDTF">2020-01-21T07:31:00Z</dcterms:created>
  <dcterms:modified xsi:type="dcterms:W3CDTF">2020-01-21T07:31:00Z</dcterms:modified>
</cp:coreProperties>
</file>