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right="-285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ind w:right="-285" w:firstLine="567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по результатам контрольного мероприятия: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>Проверка целевого и эффективного использования средств, выделенных на закупку и ремонт отдельных видов медицинского оборудования и анализ эффективности его использования бюджетными учреждения Орловской области</w:t>
      </w:r>
      <w:r>
        <w:rPr>
          <w:rFonts w:cs="Times New Roman" w:ascii="Times New Roman" w:hAnsi="Times New Roman"/>
          <w:bCs/>
          <w:sz w:val="28"/>
          <w:szCs w:val="28"/>
        </w:rPr>
        <w:t>»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Контрольно-счетной палатой Орловской области на основании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п. 2.1.1 Плана деятельности Контрольно-счетной палаты Орловской области на 2019 год, </w:t>
      </w:r>
      <w:r>
        <w:rPr>
          <w:rFonts w:cs="Times New Roman" w:ascii="Times New Roman" w:hAnsi="Times New Roman"/>
          <w:sz w:val="28"/>
          <w:szCs w:val="28"/>
        </w:rPr>
        <w:t xml:space="preserve">проведено контрольное мероприятие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</w:rPr>
        <w:t>Проверка целевого и эффективного использования средств, выделенных на закупку и ремонт отдельных видов медицинского оборудования и анализ эффективности его использования бюджетными учреждения Орловской области</w:t>
      </w:r>
      <w:r>
        <w:rPr>
          <w:rFonts w:cs="Times New Roman" w:ascii="Times New Roman" w:hAnsi="Times New Roman"/>
          <w:bCs/>
          <w:sz w:val="28"/>
          <w:szCs w:val="28"/>
        </w:rPr>
        <w:t>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Объектами контрольного мероприятия являлись: Департамент здравоохранения Орловской области, </w:t>
      </w:r>
      <w:r>
        <w:rPr>
          <w:rFonts w:eastAsia="Calibri" w:cs="Times New Roman" w:ascii="Times New Roman" w:hAnsi="Times New Roman"/>
          <w:sz w:val="28"/>
          <w:szCs w:val="28"/>
        </w:rPr>
        <w:t xml:space="preserve">БУЗ Орловской области «Орловский онкологический диспансер», </w:t>
      </w:r>
      <w:r>
        <w:rPr>
          <w:rFonts w:eastAsia="Times New Roman" w:cs="Times New Roman" w:ascii="Times New Roman" w:hAnsi="Times New Roman"/>
          <w:sz w:val="28"/>
          <w:szCs w:val="28"/>
        </w:rPr>
        <w:t>БУЗ Орловской области «Плещеевская центральная районная больница»,</w:t>
      </w:r>
      <w:r>
        <w:rPr>
          <w:rFonts w:cs="Times New Roman" w:ascii="Times New Roman" w:hAnsi="Times New Roman"/>
          <w:sz w:val="28"/>
          <w:szCs w:val="28"/>
        </w:rPr>
        <w:t xml:space="preserve"> БУЗ Орловской области «Городская больница им. С.П. Боткина»,</w:t>
      </w:r>
      <w:r>
        <w:rPr>
          <w:rFonts w:eastAsia="Calibri" w:cs="Times New Roman" w:ascii="Times New Roman" w:hAnsi="Times New Roman"/>
          <w:sz w:val="28"/>
          <w:szCs w:val="28"/>
        </w:rPr>
        <w:t xml:space="preserve"> БУЗ  Орловской области «Орловская областная клиническая больница»,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БУЗ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Орловской области </w:t>
      </w:r>
      <w:r>
        <w:rPr>
          <w:rFonts w:eastAsia="Times New Roman" w:cs="Times New Roman" w:ascii="Times New Roman" w:hAnsi="Times New Roman"/>
          <w:sz w:val="28"/>
          <w:szCs w:val="28"/>
        </w:rPr>
        <w:t>«БСМП им. Н.А. Семашко».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76"/>
        <w:ind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В ходе контрольного мероприятия установлено следующее. 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Общий объём проверенных средств,</w:t>
      </w:r>
      <w:r>
        <w:rPr>
          <w:rFonts w:cs="Times New Roman" w:ascii="Times New Roman" w:hAnsi="Times New Roman"/>
          <w:sz w:val="28"/>
          <w:szCs w:val="28"/>
        </w:rPr>
        <w:t xml:space="preserve"> исчисляемый в денежном эквиваленте,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составил 187 млн. рублей.  </w:t>
      </w:r>
      <w:r>
        <w:rPr>
          <w:rFonts w:cs="Times New Roman" w:ascii="Times New Roman" w:hAnsi="Times New Roman"/>
          <w:sz w:val="28"/>
          <w:szCs w:val="28"/>
        </w:rPr>
        <w:t xml:space="preserve">  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Установлены отдельные недостатки и нарушения при проведении бюджетными учреждениями здравоохранения закупки медицинского оборудования, </w:t>
      </w:r>
      <w:r>
        <w:rPr>
          <w:rFonts w:eastAsia="Times New Roman" w:cs="Times New Roman" w:ascii="Times New Roman" w:hAnsi="Times New Roman"/>
          <w:sz w:val="28"/>
          <w:szCs w:val="28"/>
        </w:rPr>
        <w:t>выполнение работ по ремонту и оказанию услуг по техническому обслуживанию.</w:t>
      </w:r>
    </w:p>
    <w:p>
      <w:pPr>
        <w:pStyle w:val="Normal"/>
        <w:tabs>
          <w:tab w:val="clear" w:pos="708"/>
          <w:tab w:val="left" w:pos="142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В рамках проведения конкурсных процедур, бюджетные учреждения не осуществляли все процедуры, предусмотренные п. 3.7. </w:t>
      </w:r>
      <w:r>
        <w:rPr>
          <w:rFonts w:cs="Times New Roman" w:ascii="Times New Roman" w:hAnsi="Times New Roman"/>
          <w:sz w:val="28"/>
          <w:szCs w:val="28"/>
        </w:rPr>
        <w:t>Методических рекомендаций по применению методов определения начальной (максимальной) цены контракта, а также цены контракта, заключаемого с единственным поставщиком,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использовали только одну процедуру: направление запросов о предоставлении ценовой информации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поставщикам.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Несмотря на то, что в целях получения учреждениями ценовой информации в отношении товара, работы, услуги для определения НМЦК рекомендуется направить запросы не менее пяти поставщикам (подрядчикам, исполнителям), обладающим опытом поставок соответствующих товаров, работ, услуг,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имелись факты направления бюджетными учреждениями запросов о ценовой информации организациям, не обладающим опытом  торговли медицинским оборудованием, фармацевтической продукцией, и не осуществляющим поставку медицинского оборудования.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При проведении закупки услуг на проведение ремонта и технического обслуживания медицинского оборудования, по ряду закупок лечебными учреждениями направлялись запросы поставщикам, не имеющим лицензию на данный вид деятельности, соответственно не имеющих опыта оказания услуг по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ремонту и техническому обслуживанию дорогостоящего медицинского оборудования. </w:t>
      </w:r>
    </w:p>
    <w:p>
      <w:pPr>
        <w:pStyle w:val="Normal"/>
        <w:tabs>
          <w:tab w:val="clear" w:pos="708"/>
          <w:tab w:val="left" w:pos="945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Выявлено определенное количество заключенных контрактов, где просматривается участие юридических лиц на всех этапах закупки  с признаками взаимозависимости, а именно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формирования  начальной максимальной цены контракта на основании коммерческих предложений юридических лиц, а также участников торгов, имеющих признаки аффилированности, что вызывает риск влияния </w:t>
      </w:r>
      <w:r>
        <w:rPr>
          <w:rFonts w:cs="Times New Roman" w:ascii="Times New Roman" w:hAnsi="Times New Roman"/>
          <w:sz w:val="28"/>
          <w:szCs w:val="28"/>
        </w:rPr>
        <w:t xml:space="preserve">на формирование цены контракта, а также на ограничение конкуренции. </w:t>
      </w:r>
      <w:bookmarkStart w:id="1" w:name="_Hlk5802628"/>
      <w:bookmarkEnd w:id="1"/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По ряду проанализированных позиций выявлено превышение НМЦК, определенной заказчиками, по сравнению с ценами на рынке соответствующих товаров, а также с ценами других госзаказчиков, и свидетельствуют об имеющейся возможности осуществления учреждениями закупок по ряду оборудования по ценам, значительно меньшим, чем НМЦК. 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6. По отдельным видам закупок, осуществленных учреждениями, имеется значительное снижение НМЦК в ходе торгов, что указывает на некорректное формирование НМЦК, а также об изначальном её завышении со стороны заказчика при формировании ее на основе коммерческих предложений от постоянных контрагентов.</w:t>
      </w:r>
    </w:p>
    <w:p>
      <w:pPr>
        <w:pStyle w:val="Normal"/>
        <w:spacing w:lineRule="auto" w:line="276" w:before="0" w:after="300"/>
        <w:ind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7. Проверкой своевременности учета бюджетными учреждениями приобретенного медицинского оборудования, установлены факты нарушений при принятии на учет поступившего имущества.</w:t>
      </w:r>
    </w:p>
    <w:p>
      <w:pPr>
        <w:pStyle w:val="Normal"/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5529" w:leader="none"/>
        </w:tabs>
        <w:spacing w:lineRule="auto" w:line="276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Итоги контрольного мероприятия рассмотрены на заседании Коллегии Контрольно-счетной палаты Орловской области 26 апреля 2019 года. 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r>
        <w:rPr>
          <w:rFonts w:eastAsia="Times New Roman" w:cs="Times New Roman" w:ascii="Times New Roman" w:hAnsi="Times New Roman"/>
          <w:sz w:val="28"/>
          <w:szCs w:val="28"/>
        </w:rPr>
        <w:t>А. Е. Клычкову</w:t>
      </w:r>
      <w:r>
        <w:rPr>
          <w:rFonts w:eastAsia="Calibri" w:cs="Times New Roman" w:ascii="Times New Roman" w:hAnsi="Times New Roman"/>
          <w:sz w:val="28"/>
          <w:szCs w:val="28"/>
        </w:rPr>
        <w:t>, Председателю Орловского областного Совета народных депутатов   Л.С. Музалевскому.</w:t>
      </w:r>
    </w:p>
    <w:p>
      <w:pPr>
        <w:pStyle w:val="Normal"/>
        <w:spacing w:lineRule="auto" w:line="276"/>
        <w:ind w:right="-1" w:firstLine="851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В соответствии с соглашением о сотрудничестве между Контрольно-счетной палатой Орловской области и прокуратурой Орловской области </w:t>
        <w:br/>
        <w:t>в прокуратуру Орловской области направлена копия акта по результатам контрольного мероприятия.</w:t>
      </w:r>
    </w:p>
    <w:p>
      <w:pPr>
        <w:pStyle w:val="Normal"/>
        <w:tabs>
          <w:tab w:val="clear" w:pos="708"/>
          <w:tab w:val="left" w:pos="5529" w:leader="none"/>
        </w:tabs>
        <w:spacing w:lineRule="auto" w:line="276" w:before="0" w:after="0"/>
        <w:ind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1ea4"/>
    <w:pPr>
      <w:widowControl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e4ed8"/>
    <w:rPr>
      <w:rFonts w:ascii="Segoe UI" w:hAnsi="Segoe UI" w:eastAsia="Arial Unicode MS" w:cs="Segoe UI"/>
      <w:color w:val="000000"/>
      <w:sz w:val="18"/>
      <w:szCs w:val="18"/>
      <w:lang w:eastAsia="ru-RU"/>
    </w:rPr>
  </w:style>
  <w:style w:type="character" w:styleId="Copytarget" w:customStyle="1">
    <w:name w:val="copy_target"/>
    <w:basedOn w:val="DefaultParagraphFont"/>
    <w:qFormat/>
    <w:rsid w:val="009f1d6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61ea4"/>
    <w:pPr>
      <w:spacing w:before="100" w:after="100"/>
    </w:pPr>
    <w:rPr>
      <w:rFonts w:ascii="Times New Roman" w:hAnsi="Times New Roman" w:eastAsia="Times New Roman" w:cs="Times New Roman"/>
      <w:color w:val="auto"/>
    </w:rPr>
  </w:style>
  <w:style w:type="paragraph" w:styleId="Default" w:customStyle="1">
    <w:name w:val="Default"/>
    <w:qFormat/>
    <w:rsid w:val="00640755"/>
    <w:pPr>
      <w:widowControl/>
      <w:bidi w:val="0"/>
      <w:spacing w:lineRule="auto" w:line="240" w:before="0" w:after="0"/>
      <w:jc w:val="both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e4ed8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LibreOffice/6.1.2.1$Windows_x86 LibreOffice_project/65905a128db06ba48db947242809d14d3f9a93fe</Application>
  <Pages>2</Pages>
  <Words>512</Words>
  <Characters>3934</Characters>
  <CharactersWithSpaces>4454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2019-05-13T16:09:00Z</dcterms:created>
  <dc:creator>user</dc:creator>
  <dc:description/>
  <dc:language>ru-RU</dc:language>
  <cp:lastModifiedBy/>
  <cp:lastPrinted>2019-04-29T08:42:00Z</cp:lastPrinted>
  <dcterms:modified xsi:type="dcterms:W3CDTF">2019-05-17T14:57:42Z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