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9"/>
        <w:jc w:val="center"/>
        <w:spacing w:line="240" w:lineRule="auto"/>
        <w:rPr>
          <w:rFonts w:ascii="Times New Roman" w:hAnsi="Times New Roman"/>
          <w:sz w:val="28"/>
          <w:szCs w:val="28"/>
        </w:rPr>
      </w:pPr>
      <w:r/>
      <w:bookmarkStart w:id="0" w:name="_Hlk76113599"/>
      <w:r>
        <w:rPr>
          <w:rFonts w:ascii="Times New Roman" w:hAnsi="Times New Roman"/>
          <w:sz w:val="28"/>
          <w:szCs w:val="28"/>
        </w:rPr>
        <w:t xml:space="preserve">Информация по результатам экспертно-аналитического мероприятия «Анализ принятых м</w:t>
      </w:r>
      <w:r>
        <w:rPr>
          <w:rFonts w:ascii="Times New Roman" w:hAnsi="Times New Roman"/>
          <w:sz w:val="28"/>
          <w:szCs w:val="28"/>
        </w:rPr>
        <w:t xml:space="preserve">ер по реализации представлений, внесенных Контрольно-счетной палатой Орловской области по результатам проведенного в 2021 году контрольного мероприятия «Проверка выполнения областной адресной программы «Капитальный ремонт общего имущества в многоквартирных</w:t>
      </w:r>
      <w:r>
        <w:rPr>
          <w:rFonts w:ascii="Times New Roman" w:hAnsi="Times New Roman"/>
          <w:sz w:val="28"/>
          <w:szCs w:val="28"/>
        </w:rPr>
        <w:t xml:space="preserve"> домах на территории Орловской области» и целевого эффективного расходования средств областного бюджета, выделенных некоммерческой организации «Региональный фонд капитального ремонта общего имущества в многоквартирных домах на территории Орловской области»</w:t>
      </w:r>
      <w:r/>
    </w:p>
    <w:p>
      <w:pPr>
        <w:contextualSpacing/>
        <w:ind w:firstLine="709"/>
        <w:jc w:val="center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палаты Орловской области на 2022 год проведено экспертно-аналитическое мероприятие «</w:t>
      </w:r>
      <w:bookmarkStart w:id="1" w:name="_Hlk535330186"/>
      <w:r>
        <w:rPr>
          <w:rFonts w:ascii="Times New Roman" w:hAnsi="Times New Roman"/>
          <w:sz w:val="28"/>
          <w:szCs w:val="28"/>
        </w:rPr>
        <w:t xml:space="preserve">Анализ принятых </w:t>
      </w:r>
      <w:r>
        <w:rPr>
          <w:rFonts w:ascii="Times New Roman" w:hAnsi="Times New Roman"/>
          <w:sz w:val="28"/>
          <w:szCs w:val="28"/>
        </w:rPr>
        <w:t xml:space="preserve">мер по реализации представлений, внесенных Контрольно-счетной палатой Орловской области по результатам проведенного в 2021 году контрольного мероприятия «Проверка выполнения областной адресной программы «Капитальный ремонт общего имущества в многоквартирны</w:t>
      </w:r>
      <w:r>
        <w:rPr>
          <w:rFonts w:ascii="Times New Roman" w:hAnsi="Times New Roman"/>
          <w:sz w:val="28"/>
          <w:szCs w:val="28"/>
        </w:rPr>
        <w:t xml:space="preserve">х домах на территории Орловской области» и целевого эффективного расходования средств областного бюджета, выделенных некоммерческой организации «Региональный фонд капитального ремонта общего имущества в многоквартирных домах на территории Орловской области</w:t>
      </w:r>
      <w:bookmarkEnd w:id="1"/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bCs/>
          <w:iCs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/>
      <w:bookmarkStart w:id="2" w:name="_Hlk85636817"/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экспертно-ан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литического</w:t>
      </w:r>
      <w:r>
        <w:rPr>
          <w:rFonts w:ascii="Times New Roman" w:hAnsi="Times New Roman"/>
          <w:sz w:val="28"/>
          <w:szCs w:val="28"/>
        </w:rPr>
        <w:t xml:space="preserve"> мероприятия установлено нарушений на общую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 xml:space="preserve">195 069,4</w:t>
      </w:r>
      <w:r>
        <w:rPr>
          <w:rFonts w:ascii="Times New Roman" w:hAnsi="Times New Roman"/>
          <w:sz w:val="28"/>
          <w:szCs w:val="28"/>
        </w:rPr>
        <w:t xml:space="preserve"> тыс. рублей, из них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арушения в сфере бухгалтерского учета </w:t>
      </w:r>
      <w:r>
        <w:rPr>
          <w:rFonts w:ascii="Times New Roman" w:hAnsi="Times New Roman"/>
          <w:sz w:val="28"/>
          <w:szCs w:val="28"/>
        </w:rPr>
        <w:t xml:space="preserve">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47 837,6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 в </w:t>
      </w:r>
      <w:r>
        <w:rPr>
          <w:rFonts w:ascii="Times New Roman" w:hAnsi="Times New Roman"/>
          <w:sz w:val="28"/>
          <w:szCs w:val="28"/>
        </w:rPr>
        <w:t xml:space="preserve">нарушение Федерального закона от 06.12.2011 № 402-ФЗ «О бухгалтерском учете», задолженность, возникш</w:t>
      </w:r>
      <w:r>
        <w:rPr>
          <w:rFonts w:ascii="Times New Roman" w:hAnsi="Times New Roman"/>
          <w:sz w:val="28"/>
          <w:szCs w:val="28"/>
        </w:rPr>
        <w:t xml:space="preserve">ая на основании решения суда о возмещение убытков, причиненных НО «РФКР», связанных с капитальным ремонтом кровли дома в результате пожара, в сумме 4 490,4 тыс. рублей не отражена в составе годовой бухгалтерской отчетности за 2020 год, а также не отражена </w:t>
      </w:r>
      <w:r>
        <w:rPr>
          <w:rFonts w:ascii="Times New Roman" w:hAnsi="Times New Roman"/>
          <w:bCs/>
          <w:sz w:val="28"/>
          <w:szCs w:val="28"/>
        </w:rPr>
        <w:t xml:space="preserve">сумма причиненного ущерба Фонду в размере 28 484,9 тыс. рублей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то же время </w:t>
      </w:r>
      <w:r>
        <w:rPr>
          <w:rFonts w:ascii="Times New Roman" w:hAnsi="Times New Roman"/>
          <w:sz w:val="28"/>
          <w:szCs w:val="28"/>
        </w:rPr>
        <w:t xml:space="preserve">в бухгалтерском учете </w:t>
      </w:r>
      <w:r>
        <w:rPr>
          <w:rFonts w:ascii="Times New Roman" w:hAnsi="Times New Roman"/>
          <w:bCs/>
          <w:sz w:val="28"/>
          <w:szCs w:val="28"/>
        </w:rPr>
        <w:t xml:space="preserve">НО «РФКР»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отражена задолженность на сумму 671,4 тыс. рублей, не признанная должником, что привело к необоснованному увеличению суммы доходов и излишнему перечислению платежей в бюджет налога на прибыль в сумме 134,2 тыс. рублей.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ходе контрольного мероприятия установлено</w:t>
      </w:r>
      <w:r>
        <w:rPr>
          <w:rFonts w:ascii="Times New Roman" w:hAnsi="Times New Roman"/>
          <w:bCs/>
          <w:sz w:val="28"/>
          <w:szCs w:val="28"/>
        </w:rPr>
        <w:t xml:space="preserve">, что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актуализации Региональной программы показатель исполнения понижался в каждом трехлетнем периоде. Так, в действующей реда</w:t>
      </w:r>
      <w:r>
        <w:rPr>
          <w:rFonts w:ascii="Times New Roman" w:hAnsi="Times New Roman"/>
          <w:sz w:val="28"/>
          <w:szCs w:val="28"/>
        </w:rPr>
        <w:t xml:space="preserve">кции Постановления Правительства Орловской области от 31.12.2013 № 482 «Об утверждении областной адресной программы «Капитальный ремонт общего имущества в многоквартирных домах на территории Орловской области» от 26.04.2022 по сравнению с редакцией от 12.0</w:t>
      </w:r>
      <w:r>
        <w:rPr>
          <w:rFonts w:ascii="Times New Roman" w:hAnsi="Times New Roman"/>
          <w:sz w:val="28"/>
          <w:szCs w:val="28"/>
        </w:rPr>
        <w:t xml:space="preserve">8.2021 количество многоквартирных домов (далее – МКД) в периодах 2018-2020 годы сократилось на 268 МКД, 2021-2023 годы – на 421 МКД, 2024-2026 годы – на 256 МКД, 2036-2038 годы – на 258 МКД, то есть почти в 2 раза, одновременно в периоде на 2042-2044 годы </w:t>
      </w:r>
      <w:r>
        <w:rPr>
          <w:rFonts w:ascii="Times New Roman" w:hAnsi="Times New Roman"/>
          <w:sz w:val="28"/>
          <w:szCs w:val="28"/>
        </w:rPr>
        <w:t xml:space="preserve">количество возросло на 1560 МКД. Вследствие внесения изменений в Региональную программу и переноса установленного срока капитального ремонта общего имущества в многоквартирном доме на 2042-2044 годы утверждены фактически неисполнимые показатели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2020 год Краткосрочным планом реализации областной адресной программы предусмотрен капитальный ремонт </w:t>
      </w:r>
      <w:r>
        <w:rPr>
          <w:rFonts w:ascii="Times New Roman" w:hAnsi="Times New Roman"/>
          <w:sz w:val="28"/>
          <w:szCs w:val="28"/>
        </w:rPr>
        <w:t xml:space="preserve">346 МКД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за счет взносов собственников на капитальный ремонт 5 084 405,8 тыс. рублей.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нарушение п.1 ст.</w:t>
      </w:r>
      <w:r>
        <w:rPr>
          <w:rFonts w:ascii="Times New Roman" w:hAnsi="Times New Roman"/>
          <w:sz w:val="28"/>
          <w:szCs w:val="28"/>
        </w:rPr>
        <w:t xml:space="preserve"> 182 Жилищного кодекса РФ Фондом</w:t>
      </w:r>
      <w:r>
        <w:rPr>
          <w:rFonts w:ascii="Times New Roman" w:hAnsi="Times New Roman"/>
          <w:sz w:val="28"/>
          <w:szCs w:val="28"/>
        </w:rPr>
        <w:t xml:space="preserve"> по состоянию</w:t>
      </w:r>
      <w:r>
        <w:rPr>
          <w:rFonts w:ascii="Times New Roman" w:hAnsi="Times New Roman"/>
          <w:sz w:val="28"/>
          <w:szCs w:val="28"/>
        </w:rPr>
        <w:t xml:space="preserve"> на 09.12.2022 </w:t>
      </w:r>
      <w:r>
        <w:rPr>
          <w:rFonts w:ascii="Times New Roman" w:hAnsi="Times New Roman"/>
          <w:sz w:val="28"/>
          <w:szCs w:val="28"/>
        </w:rPr>
        <w:t xml:space="preserve">за 2020 год</w:t>
      </w:r>
      <w:r>
        <w:rPr>
          <w:rFonts w:ascii="Times New Roman" w:hAnsi="Times New Roman"/>
          <w:sz w:val="28"/>
          <w:szCs w:val="28"/>
        </w:rPr>
        <w:t xml:space="preserve"> не выполнено обязательство по обеспечению проведения комплексного капитального ремонта общего имущества в </w:t>
      </w:r>
      <w:r>
        <w:rPr>
          <w:rFonts w:ascii="Times New Roman" w:hAnsi="Times New Roman"/>
          <w:sz w:val="28"/>
          <w:szCs w:val="28"/>
        </w:rPr>
        <w:t xml:space="preserve">34 </w:t>
      </w:r>
      <w:r>
        <w:rPr>
          <w:rFonts w:ascii="Times New Roman" w:hAnsi="Times New Roman"/>
          <w:sz w:val="28"/>
          <w:szCs w:val="28"/>
        </w:rPr>
        <w:t xml:space="preserve">МКД с запланированным объемом</w:t>
      </w:r>
      <w:r>
        <w:rPr>
          <w:rFonts w:ascii="Times New Roman" w:hAnsi="Times New Roman"/>
          <w:sz w:val="28"/>
          <w:szCs w:val="28"/>
        </w:rPr>
        <w:t xml:space="preserve"> строительно-монтажных работ по состоянию на 01.12.2022 на сумму 146 951,7 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уществует риск возникновения дефицита финансового обеспечения дальнейшей реализации Региональной программы без применения мер финансовой поддержки при ее реализации, предусмотренных ст. 191 Жилищного кодекса РФ, в виду невозможности возврата</w:t>
      </w:r>
      <w:r>
        <w:rPr>
          <w:rFonts w:ascii="Times New Roman" w:hAnsi="Times New Roman"/>
          <w:sz w:val="28"/>
          <w:szCs w:val="28"/>
        </w:rPr>
        <w:t xml:space="preserve"> заимствованных на проведение капитального ремонта в 523 МКД средств в течение срока действия Региональной программы с учетом 100 %  собираемости взносов (срок возврата денежных средств собственниками этих домов составит от 10 до 105 лет (в среднем 37 лет)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 состоянию на 31.10.2022 по сравнению с началом года отмечен рост дебиторской задолженности по уплате взносов на капитальный ремонт общего имущества МКД собственниками помещений на 13,5 %, по сравнению с началом 2021 г</w:t>
      </w:r>
      <w:r>
        <w:rPr>
          <w:rFonts w:ascii="Times New Roman" w:hAnsi="Times New Roman"/>
          <w:sz w:val="28"/>
          <w:szCs w:val="28"/>
        </w:rPr>
        <w:t xml:space="preserve">ода на 22 %, которая составила на 31.12.2020 – 591,9 тыс. рублей, на 31.12.2021 – 636,4 тыс. рублей, на 31.10.2022 – 722,4 тыс. рублей. По взносам собственников на капитального ремонт по общему счету регионального оператора на 31.10.2022 по сравнению с нач</w:t>
      </w:r>
      <w:r>
        <w:rPr>
          <w:rFonts w:ascii="Times New Roman" w:hAnsi="Times New Roman"/>
          <w:sz w:val="28"/>
          <w:szCs w:val="28"/>
        </w:rPr>
        <w:t xml:space="preserve">алом 2021 года рост дебиторской задолженности наблюдается по взносам на 19,8 %, по сравнению с началом 2022 года на 12,5%, которая составила на 31.12.2020 – 494 025,1 тыс. рублей, на 31.12.2021 – 525 939,8 тыс. рублей, на 31.10.2022 – 591 713,0 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bookmarkEnd w:id="0"/>
      <w:bookmarkEnd w:id="2"/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pPr>
      <w:spacing w:line="252" w:lineRule="auto"/>
    </w:pPr>
    <w:rPr>
      <w:rFonts w:ascii="Calibri" w:hAnsi="Calibri" w:eastAsia="Calibri" w:cs="Times New Roman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List Paragraph"/>
    <w:basedOn w:val="60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revision>4</cp:revision>
  <dcterms:created xsi:type="dcterms:W3CDTF">2023-03-22T08:31:00Z</dcterms:created>
  <dcterms:modified xsi:type="dcterms:W3CDTF">2023-04-03T08:01:34Z</dcterms:modified>
</cp:coreProperties>
</file>