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7E" w:rsidRPr="00030D0D" w:rsidRDefault="00A8250D" w:rsidP="00030D0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0D">
        <w:rPr>
          <w:rFonts w:ascii="Times New Roman" w:hAnsi="Times New Roman" w:cs="Times New Roman"/>
          <w:b/>
          <w:sz w:val="28"/>
          <w:szCs w:val="28"/>
        </w:rPr>
        <w:t>Об итогах деятельности</w:t>
      </w:r>
      <w:r w:rsidR="00030D0D" w:rsidRPr="00030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D0D"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Pr="00030D0D">
        <w:rPr>
          <w:rFonts w:ascii="Times New Roman" w:hAnsi="Times New Roman" w:cs="Times New Roman"/>
          <w:b/>
          <w:sz w:val="28"/>
          <w:szCs w:val="28"/>
        </w:rPr>
        <w:t>счетной палаты</w:t>
      </w:r>
      <w:r w:rsidR="00030D0D" w:rsidRPr="00030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D0D">
        <w:rPr>
          <w:rFonts w:ascii="Times New Roman" w:hAnsi="Times New Roman" w:cs="Times New Roman"/>
          <w:b/>
          <w:sz w:val="28"/>
          <w:szCs w:val="28"/>
        </w:rPr>
        <w:t>Орловской области в 2018 году</w:t>
      </w:r>
      <w:r w:rsidR="00030D0D" w:rsidRPr="00030D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0D0D">
        <w:rPr>
          <w:rFonts w:ascii="Times New Roman" w:hAnsi="Times New Roman" w:cs="Times New Roman"/>
          <w:b/>
          <w:sz w:val="28"/>
          <w:szCs w:val="28"/>
        </w:rPr>
        <w:t>и основных</w:t>
      </w:r>
      <w:r w:rsidR="000B7EE0">
        <w:rPr>
          <w:rFonts w:ascii="Times New Roman" w:hAnsi="Times New Roman" w:cs="Times New Roman"/>
          <w:b/>
          <w:sz w:val="28"/>
          <w:szCs w:val="28"/>
        </w:rPr>
        <w:t xml:space="preserve"> задачах до конца текущего года</w:t>
      </w:r>
    </w:p>
    <w:p w:rsidR="0061177E" w:rsidRDefault="0061177E" w:rsidP="00193A1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50D" w:rsidRPr="00A8250D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Контрольно-счетной палаты Орловской области за 2018 год осуществлялась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работы.</w:t>
      </w:r>
    </w:p>
    <w:p w:rsidR="00A8250D" w:rsidRPr="00A8250D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полномочий, возложенных на </w:t>
      </w:r>
      <w:r w:rsidR="00BC1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Контрольно-счетную палату Орловской области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годовой план были включены 39 мероприятий, охватывающи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расходования средств областного бюджета,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94 экс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пертно-аналитических мероприятий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50D" w:rsidRPr="00A8250D" w:rsidRDefault="00A8250D" w:rsidP="00BC1F6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плана производилось с учетом</w:t>
      </w:r>
      <w:r w:rsidR="007D7305" w:rsidRPr="007D7305">
        <w:t xml:space="preserve"> </w:t>
      </w:r>
      <w:r w:rsidR="007D7305" w:rsidRPr="007D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87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и Председателя Правительства Орловской области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Орловского обла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Совета народных депутатов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 основании поручений Орловского областного Совета народных депутатов включено 12 мероприятий, на основании предложений Губернатора Орловской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</w:p>
    <w:p w:rsidR="00A8250D" w:rsidRPr="00A8250D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проверенных средств по итогам деятельности за 2018 год составил 11,0 млрд. рублей. Рост данного показателя к уровню 2017 года более чем в 1,5 раза обусловлен проведением комплексного финансового аудита государственных программ и учреждений Орловской области, получивших значительные объемы бюджетного финансирования. Выявлено нару</w:t>
      </w:r>
      <w:r w:rsidR="007D730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шений на сумму 2,1 млрд. рублей, в том числе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250D" w:rsidRPr="00A8250D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неэффективное использование бюджетных средств – 889,0 млн. рублей;</w:t>
      </w:r>
    </w:p>
    <w:p w:rsidR="00A8250D" w:rsidRPr="00A8250D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нецелевое использование бюджетных средств – 9,1 млн. рублей;</w:t>
      </w:r>
    </w:p>
    <w:p w:rsidR="00A8250D" w:rsidRPr="00A8250D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нарушения в сфере закупок – 623,0 млн. рублей;</w:t>
      </w:r>
    </w:p>
    <w:p w:rsidR="00A8250D" w:rsidRPr="00A8250D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-иные нарушения бюджетного законодательства – 583,0 млн. рублей.</w:t>
      </w:r>
    </w:p>
    <w:p w:rsidR="007D7305" w:rsidRDefault="007D7305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7D73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D7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доля нарушений приходится на 2016-2017 годы.  </w:t>
      </w:r>
    </w:p>
    <w:p w:rsidR="00A8250D" w:rsidRPr="00A8250D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выявленные  нарушения, можно отметить тенденцию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они допускаются.</w:t>
      </w:r>
      <w:r w:rsidR="007D7305" w:rsidRPr="007D7305">
        <w:t xml:space="preserve"> </w:t>
      </w:r>
    </w:p>
    <w:p w:rsidR="00A8250D" w:rsidRPr="000B7EE0" w:rsidRDefault="00A8250D" w:rsidP="00A8250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рекомендаций</w:t>
      </w:r>
      <w:bookmarkStart w:id="0" w:name="_Hlk32973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и Председателя Правительства Орловской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82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поручений Орловского областного Совета народных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bookmarkEnd w:id="0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периоде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контрольные мероприятия 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проверке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государственных унитарных предприятий Орловской области и акционерных обществ, находящихся в собственности Орловской области.</w:t>
      </w:r>
    </w:p>
    <w:p w:rsidR="00A8250D" w:rsidRPr="000B7EE0" w:rsidRDefault="00A8250D" w:rsidP="00A8250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наиболее знаковым объектам, проверенным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 году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данного направления, можно отнести: НО «Региональный фонд капитального ремонта общего имущества в многоквартирных домах на территории Орловской области», АО «</w:t>
      </w:r>
      <w:proofErr w:type="spell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Орелоблэнерго</w:t>
      </w:r>
      <w:proofErr w:type="spell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АО «АИЖК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Орловской области».</w:t>
      </w:r>
    </w:p>
    <w:p w:rsidR="00A8250D" w:rsidRPr="000B7EE0" w:rsidRDefault="000B568D" w:rsidP="00A8250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проверке некоммерческой организации «Региональный фонд капитального ремонта общего имущества в многоквартирных домах на территории Орловской области» отмечена недостаточная собираемость взносов на капитальный рем</w:t>
      </w:r>
      <w:r w:rsidR="007D7305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онт, низкий уровень выполнения п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по капитальному ремонту многоквартирных домов.</w:t>
      </w:r>
    </w:p>
    <w:p w:rsidR="00A8250D" w:rsidRPr="000B7EE0" w:rsidRDefault="00A8250D" w:rsidP="00A11B99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неотработанных авансов, а также опла</w:t>
      </w:r>
      <w:r w:rsidR="00A11B99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  не выполненны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подрядным организациям, общий объем ущерба, причиненный 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«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РФКР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составил 79 746,3 тыс. рублей.</w:t>
      </w:r>
      <w:r w:rsidR="00A11B99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68D" w:rsidRPr="000B7EE0">
        <w:rPr>
          <w:rFonts w:ascii="Times New Roman" w:eastAsia="Arial" w:hAnsi="Times New Roman" w:cs="Times New Roman"/>
          <w:sz w:val="28"/>
          <w:szCs w:val="28"/>
          <w:lang w:eastAsia="ar-SA"/>
        </w:rPr>
        <w:t>В ходе проверки отмечено низкое качество выполнения работ, пр</w:t>
      </w:r>
      <w:r w:rsidRPr="000B7E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 этом </w:t>
      </w:r>
      <w:r w:rsidR="000B568D" w:rsidRPr="000B7EE0">
        <w:rPr>
          <w:rFonts w:ascii="Times New Roman" w:eastAsia="Arial" w:hAnsi="Times New Roman" w:cs="Times New Roman"/>
          <w:sz w:val="28"/>
          <w:szCs w:val="28"/>
          <w:lang w:eastAsia="ar-SA"/>
        </w:rPr>
        <w:t>гарантийные обязательства отсутствовали.</w:t>
      </w:r>
    </w:p>
    <w:p w:rsidR="00A8250D" w:rsidRPr="000B7EE0" w:rsidRDefault="00A8250D" w:rsidP="00A8250D">
      <w:pPr>
        <w:widowControl w:val="0"/>
        <w:suppressAutoHyphens/>
        <w:autoSpaceDE w:val="0"/>
        <w:spacing w:after="0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B7E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Исправить </w:t>
      </w:r>
      <w:r w:rsidR="000B568D" w:rsidRPr="000B7EE0">
        <w:rPr>
          <w:rFonts w:ascii="Times New Roman" w:eastAsia="Arial" w:hAnsi="Times New Roman" w:cs="Times New Roman"/>
          <w:sz w:val="28"/>
          <w:szCs w:val="28"/>
          <w:lang w:eastAsia="ar-SA"/>
        </w:rPr>
        <w:t>сложившуюся</w:t>
      </w:r>
      <w:r w:rsidRPr="000B7EE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ситуации, взыскать неустойку, а та</w:t>
      </w:r>
      <w:r w:rsidR="000B568D" w:rsidRPr="000B7EE0">
        <w:rPr>
          <w:rFonts w:ascii="Times New Roman" w:eastAsia="Arial" w:hAnsi="Times New Roman" w:cs="Times New Roman"/>
          <w:sz w:val="28"/>
          <w:szCs w:val="28"/>
          <w:lang w:eastAsia="ar-SA"/>
        </w:rPr>
        <w:t>кже неотработанные суммы по не</w:t>
      </w:r>
      <w:r w:rsidRPr="000B7EE0">
        <w:rPr>
          <w:rFonts w:ascii="Times New Roman" w:eastAsia="Arial" w:hAnsi="Times New Roman" w:cs="Times New Roman"/>
          <w:sz w:val="28"/>
          <w:szCs w:val="28"/>
          <w:lang w:eastAsia="ar-SA"/>
        </w:rPr>
        <w:t>выполненным работам не представляется возможным в связи с банкротством подрядчиков.</w:t>
      </w:r>
    </w:p>
    <w:p w:rsidR="00A8250D" w:rsidRPr="000B7EE0" w:rsidRDefault="00A8250D" w:rsidP="00A8250D">
      <w:pPr>
        <w:widowControl w:val="0"/>
        <w:spacing w:after="0"/>
        <w:ind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АО «</w:t>
      </w:r>
      <w:proofErr w:type="spell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Орелоблэнерго</w:t>
      </w:r>
      <w:proofErr w:type="spell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установлено, что в проверяемом периоде показатели финансово-хозяйственной деятельности общества существенно ухудшились. Так, убыток 2017 года составил 10 896 тыс. рублей.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итогам контрольного мероприятия </w:t>
      </w:r>
      <w:r w:rsidR="000B568D" w:rsidRPr="000B7E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установлено</w:t>
      </w:r>
      <w:r w:rsidRPr="000B7E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 основным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фактором, повлиявшим на значительное ухудшение финансового состояния Общества, являлась,</w:t>
      </w:r>
      <w:r w:rsidRPr="000B7E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прежде всего, деятельность  генерального директора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Орелоблэнерго</w:t>
      </w:r>
      <w:proofErr w:type="spell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» Е.В. Зиновьева.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указанный период н</w:t>
      </w:r>
      <w:r w:rsidRPr="000B7EE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еобоснованно и неэффективно происходило отвлечение значительных объемов денежных средств из финансового оборота общества. Допускались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грубые нарушения требований действующего законодательства. 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генерального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наличия коррупционных составляющих. </w:t>
      </w:r>
    </w:p>
    <w:p w:rsidR="00A8250D" w:rsidRPr="000B7EE0" w:rsidRDefault="00A8250D" w:rsidP="00A8250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установлено, что при осуществлении закупок искусственно создавались условия, позволяющие не допустить к закупочным процедурам потенциальных поставщиков, в связи с чем, закупки проводились у конкретных организаций и по завышенным ценам.</w:t>
      </w:r>
    </w:p>
    <w:p w:rsidR="00A8250D" w:rsidRPr="000B7EE0" w:rsidRDefault="00A8250D" w:rsidP="00A8250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</w:t>
      </w:r>
      <w:r w:rsidRPr="000B7EE0">
        <w:rPr>
          <w:rFonts w:ascii="Calibri" w:eastAsia="Times New Roman" w:hAnsi="Calibri" w:cs="Times New Roman"/>
          <w:lang w:eastAsia="ru-RU"/>
        </w:rPr>
        <w:t xml:space="preserve">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«АИЖК Орловской области» установлены нарушения законодательства Российской Федерации. Неэффективное использование средств составил</w:t>
      </w:r>
      <w:r w:rsidR="000B568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104,6 млн</w:t>
      </w:r>
      <w:r w:rsidRPr="000B7EE0">
        <w:rPr>
          <w:rFonts w:ascii="Times New Roman" w:eastAsia="Calibri" w:hAnsi="Times New Roman" w:cs="Times New Roman"/>
          <w:sz w:val="28"/>
          <w:szCs w:val="28"/>
        </w:rPr>
        <w:t>.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проверок следственными органами  </w:t>
      </w:r>
      <w:r w:rsidR="00876A79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возбуждены уголовные дела.</w:t>
      </w:r>
    </w:p>
    <w:p w:rsidR="00A8250D" w:rsidRPr="000B7EE0" w:rsidRDefault="00924A2E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аудита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использования средств, направленных на осуществлени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государственной и муниципальной собственности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проведена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расходования средств, выделенных на реконструкцию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учреждени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(МБОУ «Средняя общеобразовательная школа №27 им. Н. С. Лескова с углубленным изучением английского языка», ОАУ ОО «Центральный стадион им. В.И. Ленина» и БОУ «Должанская СОШ»).</w:t>
      </w:r>
      <w:proofErr w:type="gramEnd"/>
    </w:p>
    <w:p w:rsidR="00A8250D" w:rsidRPr="000B7EE0" w:rsidRDefault="007D7305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924A2E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были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на основании предложений</w:t>
      </w:r>
      <w:r w:rsidR="00876A79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и Председателя Правительства Орловской области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поручений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ародных депутатов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доля нарушений была выявлена при проверке использования денежных средств, выделенных на реконструкцию  ОАУ ОО «Центральный стадион им. В.И. Ленина» и БОУ «Должанская СОШ».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установлен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ы факты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подрядчиками договорных обязательств, приняти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некачестве</w:t>
      </w:r>
      <w:r w:rsidR="00060397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выполненных и фактически не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выполненных работ, с последующим снятием с выполнения, а также ины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реконструкции, </w:t>
      </w:r>
      <w:r w:rsidR="00B975E1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060397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привели к </w:t>
      </w:r>
      <w:proofErr w:type="spellStart"/>
      <w:r w:rsidR="00060397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завершению</w:t>
      </w:r>
      <w:proofErr w:type="spell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объектов в установленные сроки.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указанным объектам выявлено нарушений на сумму 139,7 млн. рублей,  в том числе нанесен ущерб в сумме 120,0 </w:t>
      </w:r>
      <w:proofErr w:type="gram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A8250D" w:rsidRPr="000B7EE0" w:rsidRDefault="00060397" w:rsidP="00060397">
      <w:pPr>
        <w:widowControl w:val="0"/>
        <w:tabs>
          <w:tab w:val="left" w:pos="0"/>
        </w:tabs>
        <w:snapToGri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нарушений, 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выявленных в рамках проверки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proofErr w:type="gramEnd"/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стадиона имени В.И. Ленина,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возбуждено 2 уголовных дела, по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 установленных нарушений в</w:t>
      </w:r>
      <w:r w:rsidR="00A8250D" w:rsidRPr="000B7EE0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БОУ «Должанская СОШ» 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следственными органами также возбуждено уголовное дело.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proofErr w:type="gram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работ, связанных с благоустройством и дорожной деятельностью, в 2018 году было проведено три контрольных мероприятия.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объем нарушений был выявлен по результатам контрольного мероприятия «Проверка целевого и эффективного расходования средств на капитальный ремонт, ремонт и содержание дорог общего пользования в рамках государственной программы Орловской области «Развитие транспортной системы в Орловской области», в том числе</w:t>
      </w:r>
      <w:r w:rsidR="00060397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факты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417,8 млн. рублей</w:t>
      </w:r>
      <w:r w:rsidR="00060397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не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воевременного предъявления к не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добросовестным подрядчикам финансовых санкций, ущерб бюджету составил 27,9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материалам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проверки возбуждено уголовное дело.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B7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2018 году при проверке осуществления закупок </w:t>
      </w:r>
      <w:r w:rsidR="00201998" w:rsidRPr="000B7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МКУ «УКХ города Орла» </w:t>
      </w:r>
      <w:r w:rsidRPr="000B7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содержание </w:t>
      </w:r>
      <w:r w:rsidR="00201998" w:rsidRPr="000B7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улично-дорожной сети г. Орла</w:t>
      </w:r>
      <w:r w:rsidRPr="000B7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(песок, соль, изготовление </w:t>
      </w:r>
      <w:proofErr w:type="spellStart"/>
      <w:r w:rsidRPr="000B7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пескосоляной</w:t>
      </w:r>
      <w:proofErr w:type="spellEnd"/>
      <w:r w:rsidRPr="000B7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смеси) выявлены факты ограничения количества участников при установлении противоречивых и излишних </w:t>
      </w:r>
      <w:r w:rsidRPr="000B7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требований к товару в документации, а также при формальном отклонении заявок потенциальных участников закупок, завышение </w:t>
      </w:r>
      <w:r w:rsidR="00030D0D" w:rsidRPr="000B7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начальных (максимальных) цен контрактов</w:t>
      </w:r>
      <w:r w:rsidRPr="000B7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привело к неэффективному использованию бюджетных средств и ущербу</w:t>
      </w:r>
      <w:proofErr w:type="gramEnd"/>
      <w:r w:rsidRPr="000B7E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 г. Орла в сумме 9,7 млн. рублей.</w:t>
      </w:r>
    </w:p>
    <w:p w:rsidR="00201998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контрольного мероприятия направлены 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установленной компетенцией в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правоохранительные органы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которых,  уполномоченными органами будет дана надлежащая правовая оценка действий должностных лиц МКУ «УКХ г. Орла».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контроля расходов на благоустройство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контрольно-счетными органами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Орловской области была проведена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целевого и эффективного использования бюджетных средств, выделенных в рамках реализации государственной программы Орловской области «Формирование современной городской среды на территории Орловской области».</w:t>
      </w:r>
      <w:r w:rsidR="00876A79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установлены факты приемки и оплаты заказчиком некачественных работ, нарушений законодательства 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998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закупок.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фактам, выявленным в ходе проверки реализации программы, в отношении должностных лиц МКУ «УКХ г. Орла» возбуждено уголовное дело.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При проверк</w:t>
      </w:r>
      <w:r w:rsidR="00201998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е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расходов, выделенных на поддержку отрасли сельского хозяйства</w:t>
      </w:r>
      <w:r w:rsidR="00A11B99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201998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Контрольно-счетной палатой Орловской области было проведено контрольное мероприятие, направленное на анализ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эффективности расходования средств на поддержку развития молочного скотоводства.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Установлено, что в 2017 году по 23 получателям расчет субсидий производился с нарушениями</w:t>
      </w:r>
      <w:r w:rsidR="00A11B99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действующего законодательства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в результате чего сумма излишне перечисленных средств составила 5 001,1 тыс. рублей. По результатам мероприятия приняты меры по возврату излишне выплаченных средств. Средства возвращены в бюджет в полном объеме.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В 2018 году Контрольно-счетной палатой Орловской области также проводились проверки эффективного расходования бюджетных сре</w:t>
      </w:r>
      <w:proofErr w:type="gramStart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дств в сф</w:t>
      </w:r>
      <w:proofErr w:type="gramEnd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ере социального обеспечения отдельных категорий граждан.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По данному направлению были проведены проверки деятельности БСУ СО ОО «Болховский дом интернат для престарелых и инвалидов» и КДОУ ОО «</w:t>
      </w:r>
      <w:proofErr w:type="spellStart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Мценский</w:t>
      </w:r>
      <w:proofErr w:type="spellEnd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детский дом для детей-сирот и детей, оставшихся без попечения родителей, дошкольного возраста».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В рамках проверки установлены нарушения при начислении и выплате заработной платы, отсутствие утвержденного порядка установления платы за проживание с получателей социальных услуг.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Также установлены факты несоблюдения учреждениями норм обеспечения проживающих продуктами питания и мягким инвентарем, наличи</w:t>
      </w:r>
      <w:r w:rsidR="00A11B99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я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продуктов питания с истекшим сроком пользования, нарушения законодательства по закупкам.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В 2018 году</w:t>
      </w:r>
      <w:r w:rsidR="00A11B99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также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было проведено контрольное мероприятие по проверке Департамента социальной защиты населения, опеки и попечительства Орловской области в части соблюдения порядка осуществления социальных выплат за счет средств областного бюджета, в ходе которого установлены нарушения, связанные с нецелевым расходованием средств материнского капитала Орловской области на сумму 4 142,1 тыс. рублей.</w:t>
      </w:r>
      <w:proofErr w:type="gramEnd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Материалы проверки направлены в правоохранительные органы, ведется </w:t>
      </w:r>
      <w:proofErr w:type="spellStart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доследственная</w:t>
      </w:r>
      <w:proofErr w:type="spellEnd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проверка.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рамках </w:t>
      </w:r>
      <w:proofErr w:type="gramStart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эффективным использованием средств, выделяемых на финансирование сферы образования, физической культуры и спорта, в 2018 году была проведено 2 контрольных мероприятия.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Основная доля нарушений была установлена при проверке БП ОУ ОО</w:t>
      </w:r>
      <w:r w:rsidR="00A11B99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«Училище олимпийского резерва». С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реди них </w:t>
      </w:r>
      <w:r w:rsidR="00A11B99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выявлены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нарушения порядка и условий оплаты труда сотрудников учреждения  на сумму </w:t>
      </w:r>
      <w:r w:rsidR="00A11B99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10,2 млн. рублей, н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еэффективное расходование бюджетных средств</w:t>
      </w:r>
      <w:r w:rsidR="00A11B99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-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12,2 млн. рублей. Н</w:t>
      </w:r>
      <w:r w:rsidR="00A11B99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а основании материалов проверки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следственными органами возбуждено уголовное дело в отношении должностных лиц Училища.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В ходе проверки использования средств, выделенных на финансирование сферы культуры,  Контрольно-счетной палатой Орловской области было проведено два контрольных мероприятия.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Основные нарушения были выявлены в рамках проверки БУКОО «ОГАТ им. И.С. Тургенева».</w:t>
      </w:r>
    </w:p>
    <w:p w:rsidR="00A8250D" w:rsidRPr="000B7EE0" w:rsidRDefault="00A8250D" w:rsidP="00A11B99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При этом</w:t>
      </w:r>
      <w:proofErr w:type="gramStart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proofErr w:type="gramEnd"/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значительная сумма нарушений 17,2 млн. рублей была установлена при проверке оплаты труда сотрудников учреждения. Также выявлены нарушения, допущенные при расчете и формировании государственного задания, в результате которых объем излишне перечисленной учреждению субсидии составил 18,5 млн. рублей.</w:t>
      </w:r>
    </w:p>
    <w:p w:rsidR="00A8250D" w:rsidRPr="000B7EE0" w:rsidRDefault="00A11B99" w:rsidP="00A1518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При осуществлении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контроля за</w:t>
      </w:r>
      <w:proofErr w:type="gramEnd"/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исполнением бюджетов муниципальных образований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были</w:t>
      </w:r>
      <w:r w:rsidR="005C000A" w:rsidRPr="000B7EE0">
        <w:t xml:space="preserve"> </w:t>
      </w:r>
      <w:r w:rsidR="005C000A" w:rsidRPr="000B7EE0">
        <w:rPr>
          <w:rFonts w:ascii="Times New Roman" w:hAnsi="Times New Roman" w:cs="Times New Roman"/>
          <w:sz w:val="28"/>
          <w:szCs w:val="28"/>
        </w:rPr>
        <w:t xml:space="preserve">проведены проверки </w:t>
      </w:r>
      <w:r w:rsidR="005C000A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отношении бюджетов </w:t>
      </w:r>
      <w:proofErr w:type="spellStart"/>
      <w:r w:rsidR="005C000A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Ливенского</w:t>
      </w:r>
      <w:proofErr w:type="spellEnd"/>
      <w:r w:rsidR="005C000A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Орловского и </w:t>
      </w:r>
      <w:proofErr w:type="spellStart"/>
      <w:r w:rsidR="005C000A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Хотынецкого</w:t>
      </w:r>
      <w:proofErr w:type="spellEnd"/>
      <w:r w:rsidR="005C000A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районов, в рамках которых 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установлены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следующие</w:t>
      </w:r>
      <w:r w:rsidR="00A1518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основные виды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1518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нарушений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</w:p>
    <w:p w:rsidR="00A8250D" w:rsidRPr="000B7EE0" w:rsidRDefault="00A1518D" w:rsidP="00A1518D">
      <w:pPr>
        <w:widowControl w:val="0"/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рамках 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формировани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я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доходной части бюджетов за счет 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 xml:space="preserve">поступлений от аренды имущества и земельных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участков установлено, что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работа по </w:t>
      </w:r>
      <w:proofErr w:type="gramStart"/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контролю за</w:t>
      </w:r>
      <w:proofErr w:type="gramEnd"/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поступлением арендных платежей, взысканию штрафных санкций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организована на недостаточном уровне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ходе проверок отмечен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ненадлежащий уровень ведения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претензионной работы.</w:t>
      </w:r>
    </w:p>
    <w:p w:rsidR="00A8250D" w:rsidRPr="000B7EE0" w:rsidRDefault="00A8250D" w:rsidP="00A1518D">
      <w:pPr>
        <w:widowControl w:val="0"/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Установлены превышения нормативов расходов на содержание органов местного самоуправления.</w:t>
      </w:r>
    </w:p>
    <w:p w:rsidR="00A8250D" w:rsidRPr="000B7EE0" w:rsidRDefault="00A1518D" w:rsidP="00A1518D">
      <w:pPr>
        <w:widowControl w:val="0"/>
        <w:numPr>
          <w:ilvl w:val="0"/>
          <w:numId w:val="25"/>
        </w:numPr>
        <w:spacing w:after="0"/>
        <w:ind w:left="0"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Выявлены на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рушения бюджетного законодательства.</w:t>
      </w:r>
    </w:p>
    <w:p w:rsidR="00A8250D" w:rsidRPr="000B7EE0" w:rsidRDefault="00A8250D" w:rsidP="00A1518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Муниципальными образованиями недостаточн</w:t>
      </w:r>
      <w:r w:rsidR="00A1518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о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проводится работа по сокращению кредиторской задолженности, по изысканию дополнительных источников доходной части бюджетов (кредиторская задолженность более 500 млн. рублей)</w:t>
      </w:r>
      <w:r w:rsidR="00A1518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. Не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своевременное погашение кредиторской задолженности приводит к дополнительным расходам по уплате штрафных санкций. За проверяемый период штрафные санкции составили более 50,0 млн. рублей.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2018 году вопросы закупочной деятельности исследовались при </w:t>
      </w:r>
      <w:r w:rsidR="00A1518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проведении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всех </w:t>
      </w:r>
      <w:r w:rsidR="00A1518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контрольных мероприятий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 основным выявленным нарушениям и недостаткам в сфере закупок можно отнести осуществление закупок неконкурентным способом, т.е. у единственного поставщика. Выявлялись случаи искусственного дробления закупок с единственным поставщиком (на суммы до 100,0 тыс. рублей). </w:t>
      </w:r>
    </w:p>
    <w:p w:rsidR="00A8250D" w:rsidRPr="000B7EE0" w:rsidRDefault="00A8250D" w:rsidP="00A1518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При этом, учреждения, заключая договоры с единственным поставщиком по ряду закупок по ценам, зачастую превышающим сложившиеся по области рыночные цены, упускают возможность экономии бюджетных средств.</w:t>
      </w:r>
      <w:r w:rsidR="00A1518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Заказчиками создаются преимущественные условия в торгах для конкретного поставщика, что влечет за собой нарушения антимонопольного законодательства. Также установлены случаи участия в аукционах аффилированных фирм.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Выявленные нарушения свидетельствуют о недостаточном внутреннем финансовом контроле, </w:t>
      </w:r>
      <w:r w:rsidR="00A1518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не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надлежащем исполнении своих должностных обязанностей отдельными руководителями проверенных объектов, при этом в ряде случаях прослеживаются признаки коррупционной составляющей. По данным фактам свою правовую оценку дадут правоохранительные органы. 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Также хотелось бы отметить, что установлены случаи, когда Главные распорядители бюджетных средств </w:t>
      </w:r>
      <w:r w:rsidR="007F3DDF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формировали лимиты бюджетных обязательств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без учета утвержденных нормативов, </w:t>
      </w:r>
      <w:r w:rsidR="007F3DDF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том числе, в ряде случаев, допускалось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их </w:t>
      </w:r>
      <w:r w:rsidR="007F3DDF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необоснованное превышение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. Так</w:t>
      </w:r>
      <w:r w:rsidR="007F3DDF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2018 году </w:t>
      </w:r>
      <w:r w:rsidR="007F3DDF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только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по 5 </w:t>
      </w:r>
      <w:r w:rsidR="007F3DDF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проверенным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учреждениям </w:t>
      </w:r>
      <w:proofErr w:type="gramStart"/>
      <w:r w:rsidR="007F3DDF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установлен</w:t>
      </w:r>
      <w:proofErr w:type="gramEnd"/>
      <w:r w:rsidR="007F3DDF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необоснованное превышение объема финансирования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на сумму более 80,0 млн. рублей.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С целью эффективной реализации материалов проведенных контрольных мероприятий материалы проверок рассматриваются на заседаниях Коллегии К</w:t>
      </w:r>
      <w:r w:rsidR="000A1942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онтрольно-счетной палаты Орловской области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 обязательным участием представителей Орловского областного Совета народных депутатов и прокуратуры Орловской области, по итогам которых принимаются совместные решения, направленные на недопущение установленных нарушений в дальнейшем. В рамках дистанционного контроля на заседаниях Коллегии также заслушиваются отчеты руководителей профильных Департаментов и объектов проверок о принятых мерах по их устранению. Материалы контрольных мероприятий рассматриваются на профильных комитетах Орловского областного Совета народных депутатов.</w:t>
      </w:r>
    </w:p>
    <w:p w:rsidR="00A8250D" w:rsidRPr="000B7EE0" w:rsidRDefault="007F3DDF" w:rsidP="000A1942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В рамках дистанционного контроля установлено, что п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 итогам проведенных контрольных мероприятий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было 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возвращено 120,0 млн. рублей.</w:t>
      </w:r>
      <w:r w:rsidR="000A1942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Также н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а основании материалов проведенных проверок инициирована </w:t>
      </w:r>
      <w:proofErr w:type="spellStart"/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претензионно</w:t>
      </w:r>
      <w:proofErr w:type="spellEnd"/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-исковая работа. Объектами контрольных мероприяти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й были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направлены иски на возмещение ущерба на сумму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более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170,0 млн. рублей. </w:t>
      </w:r>
    </w:p>
    <w:p w:rsidR="00A8250D" w:rsidRPr="000B7EE0" w:rsidRDefault="007F3DDF" w:rsidP="00A8250D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По итогам проверок с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оставлено 18 протоколов об административных правонарушениях. Сумма поступивших в бюджет 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штрафов 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>составила</w:t>
      </w:r>
      <w:r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более</w:t>
      </w:r>
      <w:r w:rsidR="00A8250D" w:rsidRPr="000B7EE0">
        <w:rPr>
          <w:rFonts w:ascii="Times New Roman" w:eastAsia="Arial Unicode MS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185,0 тыс. рублей. </w:t>
      </w:r>
    </w:p>
    <w:p w:rsidR="00FB58A3" w:rsidRPr="000B7EE0" w:rsidRDefault="00FB58A3" w:rsidP="00FB58A3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правоохранительными и иными</w:t>
      </w:r>
    </w:p>
    <w:p w:rsidR="00FB58A3" w:rsidRPr="000B7EE0" w:rsidRDefault="00FB58A3" w:rsidP="00FB58A3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органами и учреждениями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Орловской области в рамках своих полномочий в целях осуществления </w:t>
      </w:r>
      <w:proofErr w:type="gram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 и эффективностью использования бюджетных средств и имущества Орловской области осуществляет постоянное взаимодействие с надзорными и правоохранительными органами Орловской области.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заключенных соглашений с правоохранительными органами проводятся совместные контрольные мероприятия, осуществляет</w:t>
      </w:r>
      <w:r w:rsidR="007F3DDF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информацией о событиях и фактах, связанных с незаконным использованием бюджетных средств.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прокуратуры принимают участие в заседаниях Коллегии Контрольно-счетной палаты Орловской области. В рамках организации сотрудничества правоохранительных и контрольных органов на базе прокуратуры Орловской области создана межведомственная комиссия, в состав которой входят представители Контрольно-счетной палаты Орловской области, прокуратуры Орловской области и следственных органов. В ходе заседаний участниками обсуждаются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актуальные и проблемные вопросы, возникающие при реализации материалов проверок Контрольно-счетной палаты Орловской области, происходит взаимный обмен информацией, представляющей интерес для сторон. Данный формат взаимодействия позволяет реализовать материалы проверок К</w:t>
      </w:r>
      <w:r w:rsidR="000A1942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системного метода оценки выявленных нарушений, что способствует их объективной уголовно-правовой квалификации.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итогам рассмотрения результатов контрольных мероприятий контрольными и правоохранительными органами, с учетом мер реагирования Контрольно-счетной  п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 Орловской области, было в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несено 110 представлений в адрес руководителей объектов контрольных мероприятий, 36 должностных лиц привечены к дисциплинарной ответственности, 37 лиц привлечены к административной ответственности. По итогам контрольных мероприятий с 10 должностными лицами проверенных объектов были прекращены трудовые отношения, в том числе с 4 руководителями.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следственными органами были возбуждены 8 уголовных дел по фактам выявленных нарушений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проверок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ОАУ ОО «Центральный стадион им. В.И. Ленина», НО «РФКР», БОУ «Должанская СОШ», АО «</w:t>
      </w:r>
      <w:proofErr w:type="spell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Орелоблэнерго</w:t>
      </w:r>
      <w:proofErr w:type="spell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БП ОУ ОО «Училище олимпийского резерва», АО «АИЖК Орловской области», аудита государственной программы Орловской области «Формирование современной городской среды на территории Орловской области», а также проверки целевого и</w:t>
      </w:r>
      <w:proofErr w:type="gram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эффективного расходования средств на капитальный ремонт, ремонт и содержание дорог общего пользования в рамках государственной программы Орловской области «Развитие транспортной системы в Орловской области».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на текущий момент в производстве следственных органов находятся 5 уголовных дел по результатам проверок прошлых отчетных периодов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должностных лиц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Орелгортеплоэнерго</w:t>
      </w:r>
      <w:proofErr w:type="spell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БУ ОО «СШОР </w:t>
      </w:r>
      <w:proofErr w:type="spell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Русичи</w:t>
      </w:r>
      <w:proofErr w:type="spell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БУК ОО «Орловский выставочный центр», БСУ СО ОО «Болховский дом-интернат для престарелых и инвалидов», администрации Орловского района по результатам нарушений, выявленных в ходе проведения финансового аудита исполнения государственной программы Орловской области «Стимулирование</w:t>
      </w:r>
      <w:proofErr w:type="gram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жилищного строительства Орловской области».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 7 материалам проверок 2018 года проводится </w:t>
      </w:r>
      <w:proofErr w:type="spell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доследственная</w:t>
      </w:r>
      <w:proofErr w:type="spell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работа по взаимодействию Контрольно-счетной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палаты Орловской области с правоохранительными и контрольными органами будет продолжена. Указанное сотрудничество направлено на координацию совместных усилий для выработки единых подходов поддержания финансовой стабильности в регионе, а также соблюдения законности и правопорядка в бюджетной сфере, минимизацию негативных последствий уже выявленных нарушений законодательства и возвращению в бюджет Орловской области незаконно отвлеченных денежных средств.</w:t>
      </w:r>
    </w:p>
    <w:p w:rsidR="00FB58A3" w:rsidRPr="000B7EE0" w:rsidRDefault="00FB58A3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8A3" w:rsidRPr="000B7EE0" w:rsidRDefault="00A8250D" w:rsidP="00FB58A3">
      <w:pPr>
        <w:widowControl w:val="0"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B7EE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Взаимодействие с контрольно-счетными органами муниципальных образований и Счетной палатой РФ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деятельности Совета Контрольно-счетной палатой Орловской области совместно с контрольно-счетными органами муниципальных образований в 2018 году проведен ряд контрольных и экспертно-аналитических мероприятий по направлению дорожной деятельности и  анализу исполнения муниципальных бюджетов.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Важная роль в деятельности Контрольно-счетной палаты Орловской области отводится взаимодействию со Счетной палатой Российской Федерации в рамках Плана работы Совета контрольно-счетных органов при Счетной палате РФ.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2018 году совместно со Счетной палатой Российской Федерации была проведено 2 </w:t>
      </w:r>
      <w:proofErr w:type="gram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экспертно-аналитических</w:t>
      </w:r>
      <w:proofErr w:type="gram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Контрольно-счетной палаты Орловской области на регулярной основе принимают участие </w:t>
      </w:r>
      <w:proofErr w:type="gram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обучающих семинарах в режиме видеоконференции при подготовке к параллельным мероприятиям совместно со специалистами</w:t>
      </w:r>
      <w:proofErr w:type="gram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Счетной палаты РФ. Полученный опыт используется при организации и проведении контрольных и экспертно-аналитических мероприятий.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обмена опытом и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осуществлению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работы со Счетной палатой и контрольно-счетными органами других субъектов Российской Федерации в мае 2019 года на базе К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 запланирован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проведение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-совещани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контрольно-счетных органов субъектов Российской Федерации, входящих в Центральный федеральный округ, с участием представителей Счетной палаты РФ и контрольно-счетных органов субъектов ЦФО.</w:t>
      </w:r>
      <w:proofErr w:type="gramEnd"/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тема совещания «Достижение национальных целей и стратегических задач прорывного развития России. Государственный аудит как условие качественного управления общественными финансами».</w:t>
      </w:r>
    </w:p>
    <w:p w:rsidR="00A8250D" w:rsidRPr="000B7EE0" w:rsidRDefault="00FB58A3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 будет продолжена работа по организации взаимодействия со Счетной палатой РФ посредством государственной 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информационной системы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правоотношений». 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50D" w:rsidRPr="000B7EE0" w:rsidRDefault="00A8250D" w:rsidP="00A8250D">
      <w:pPr>
        <w:widowControl w:val="0"/>
        <w:spacing w:after="0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0B7EE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Задачи Контрольно-счетной палаты на 2019 год</w:t>
      </w:r>
    </w:p>
    <w:p w:rsidR="000A1942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Контрольно-счетной палаты Орловской области на 20</w:t>
      </w:r>
      <w:r w:rsidR="000A1942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год сформирован на основании рекомендаций </w:t>
      </w:r>
      <w:r w:rsidR="00876A79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Губернатора и Председателя Правительства Орловской области </w:t>
      </w:r>
      <w:r w:rsidR="000A1942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Орловского облас</w:t>
      </w:r>
      <w:r w:rsidR="000A1942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Совета народных депутатов.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Плана учтены результаты контрольных и экспертно-аналитических мероприятий предыдущих лет. Перечень контрольных мероприятий сформирован исходя из необходимости системного охвата всех отраслей и направлений расходования средств. </w:t>
      </w:r>
    </w:p>
    <w:p w:rsidR="00A8250D" w:rsidRPr="000B7EE0" w:rsidRDefault="00A8250D" w:rsidP="00030D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работы Контрольно-счетной палаты Орловской области в 2019 году связана с необходимостью внедрения в деятельность </w:t>
      </w:r>
      <w:r w:rsidR="000A1942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контрольно-счетных органов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методологии стратегического аудита.</w:t>
      </w:r>
      <w:r w:rsidR="00030D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на стратегический аудит отмечен в стратегии развития 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палаты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на 2018-2024 годы, как основной и наиболее перспективный способ оценки результативности и эффективности бюджетных расходов.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направления предполагается усиление роли аналитических мероприятий.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национальных проектов, альтернативная оценка достигнутых результатов реализации национальных проектов, это те направления, на которые сегодня рекомендовано обратить особое внимание контрольно-счетным органам субъектов РФ.</w:t>
      </w:r>
    </w:p>
    <w:p w:rsidR="00A8250D" w:rsidRPr="000B7EE0" w:rsidRDefault="00FB58A3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данного направления 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утвержденном на 2019 год Плане 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Контрольно-счетной палаты</w:t>
      </w:r>
      <w:r w:rsidR="00A8250D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области, отдельно предусмотрено мероприятие «Стратегический аудит социально-экономического развития Орловской области и мониторинг реализации государственных программ Орловской области». </w:t>
      </w:r>
      <w:proofErr w:type="gramEnd"/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основной 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уделено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реализации на территории Орловской области национальных проектов, вовлеченности Орловской области в реализацию всех потенциально возможных мероприятий, и оценк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влияния реализации мероприятий на социально-экономическое развитие Орловской области.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указанного мероприятия принципы стратегического аудита будут учитываться и при проведении контрольных мероприятий в разных сферах.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Большой объем мероприятий запланирован в рамках </w:t>
      </w:r>
      <w:proofErr w:type="gramStart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муниципальных бюджетов. По данному направлению планируется проведение как общего анализа по исполнению бюджетов, так и </w:t>
      </w:r>
      <w:r w:rsidR="00FB58A3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проверочные мероприятия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направленны</w:t>
      </w:r>
      <w:r w:rsidR="00BC1F6C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оценку эффективности бюджетных расходов с точки зрения развития территорий.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направлений по-прежнему остается контроль в области осуществления закупок. Данному вопросу планируется уделять внимание при осуществлении каждого контрольного мероприятия.</w:t>
      </w:r>
    </w:p>
    <w:p w:rsidR="00A8250D" w:rsidRPr="000B7EE0" w:rsidRDefault="00A825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методологическом плане приоритетным для  К</w:t>
      </w:r>
      <w:r w:rsidR="00BC1F6C"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палаты</w:t>
      </w:r>
      <w:r w:rsidRPr="000B7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комплексный подход, который предполагает не только определение законности использования государственных ресурсов и достоверности отчетных данных, но и оценку достижения целевых ориентиров,   всесторонний анализ эффективности деятельности объектов проверки.</w:t>
      </w:r>
    </w:p>
    <w:p w:rsidR="00030D0D" w:rsidRPr="000B7EE0" w:rsidRDefault="00030D0D" w:rsidP="00A8250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030D0D" w:rsidRPr="000B7EE0" w:rsidSect="00FE681A">
      <w:headerReference w:type="default" r:id="rId9"/>
      <w:pgSz w:w="11906" w:h="16838"/>
      <w:pgMar w:top="1021" w:right="964" w:bottom="102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C7" w:rsidRDefault="000930C7" w:rsidP="00F573B4">
      <w:pPr>
        <w:spacing w:after="0" w:line="240" w:lineRule="auto"/>
      </w:pPr>
      <w:r>
        <w:separator/>
      </w:r>
    </w:p>
  </w:endnote>
  <w:endnote w:type="continuationSeparator" w:id="0">
    <w:p w:rsidR="000930C7" w:rsidRDefault="000930C7" w:rsidP="00F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C7" w:rsidRDefault="000930C7" w:rsidP="00F573B4">
      <w:pPr>
        <w:spacing w:after="0" w:line="240" w:lineRule="auto"/>
      </w:pPr>
      <w:r>
        <w:separator/>
      </w:r>
    </w:p>
  </w:footnote>
  <w:footnote w:type="continuationSeparator" w:id="0">
    <w:p w:rsidR="000930C7" w:rsidRDefault="000930C7" w:rsidP="00F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339494"/>
      <w:docPartObj>
        <w:docPartGallery w:val="Page Numbers (Top of Page)"/>
        <w:docPartUnique/>
      </w:docPartObj>
    </w:sdtPr>
    <w:sdtEndPr/>
    <w:sdtContent>
      <w:p w:rsidR="00F573B4" w:rsidRDefault="00F573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EE0">
          <w:rPr>
            <w:noProof/>
          </w:rPr>
          <w:t>2</w:t>
        </w:r>
        <w:r>
          <w:fldChar w:fldCharType="end"/>
        </w:r>
      </w:p>
    </w:sdtContent>
  </w:sdt>
  <w:p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235"/>
    <w:multiLevelType w:val="hybridMultilevel"/>
    <w:tmpl w:val="A02668E0"/>
    <w:lvl w:ilvl="0" w:tplc="47A27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BF9"/>
    <w:multiLevelType w:val="hybridMultilevel"/>
    <w:tmpl w:val="829AF26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33533"/>
    <w:multiLevelType w:val="hybridMultilevel"/>
    <w:tmpl w:val="294EE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55743"/>
    <w:multiLevelType w:val="hybridMultilevel"/>
    <w:tmpl w:val="D7BCE20A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7A273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F129A6"/>
    <w:multiLevelType w:val="hybridMultilevel"/>
    <w:tmpl w:val="E42AE03A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14E42"/>
    <w:multiLevelType w:val="hybridMultilevel"/>
    <w:tmpl w:val="0976744C"/>
    <w:lvl w:ilvl="0" w:tplc="47A27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5162E"/>
    <w:multiLevelType w:val="hybridMultilevel"/>
    <w:tmpl w:val="24043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DC36E0"/>
    <w:multiLevelType w:val="hybridMultilevel"/>
    <w:tmpl w:val="D8F6030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3C066F41"/>
    <w:multiLevelType w:val="hybridMultilevel"/>
    <w:tmpl w:val="C792D88E"/>
    <w:lvl w:ilvl="0" w:tplc="47A27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CD33EC"/>
    <w:multiLevelType w:val="hybridMultilevel"/>
    <w:tmpl w:val="6218B226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C24AD7"/>
    <w:multiLevelType w:val="hybridMultilevel"/>
    <w:tmpl w:val="F410906C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4037F8"/>
    <w:multiLevelType w:val="hybridMultilevel"/>
    <w:tmpl w:val="C386835A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753268"/>
    <w:multiLevelType w:val="hybridMultilevel"/>
    <w:tmpl w:val="EC2A9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E3391"/>
    <w:multiLevelType w:val="hybridMultilevel"/>
    <w:tmpl w:val="4BCAE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05F24"/>
    <w:multiLevelType w:val="hybridMultilevel"/>
    <w:tmpl w:val="8A9E431C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BE07B9F"/>
    <w:multiLevelType w:val="hybridMultilevel"/>
    <w:tmpl w:val="9604BC96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B42A70"/>
    <w:multiLevelType w:val="hybridMultilevel"/>
    <w:tmpl w:val="76E258AC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C3340"/>
    <w:multiLevelType w:val="hybridMultilevel"/>
    <w:tmpl w:val="B1A6AF0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E8087C"/>
    <w:multiLevelType w:val="hybridMultilevel"/>
    <w:tmpl w:val="88D83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05D5E"/>
    <w:multiLevelType w:val="hybridMultilevel"/>
    <w:tmpl w:val="533A2B20"/>
    <w:lvl w:ilvl="0" w:tplc="47A27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15294"/>
    <w:multiLevelType w:val="hybridMultilevel"/>
    <w:tmpl w:val="5DB8D386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>
    <w:nsid w:val="71452373"/>
    <w:multiLevelType w:val="hybridMultilevel"/>
    <w:tmpl w:val="95A21204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DF2B5A"/>
    <w:multiLevelType w:val="hybridMultilevel"/>
    <w:tmpl w:val="CD84D9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4"/>
  </w:num>
  <w:num w:numId="3">
    <w:abstractNumId w:val="19"/>
  </w:num>
  <w:num w:numId="4">
    <w:abstractNumId w:val="12"/>
  </w:num>
  <w:num w:numId="5">
    <w:abstractNumId w:val="10"/>
  </w:num>
  <w:num w:numId="6">
    <w:abstractNumId w:val="1"/>
  </w:num>
  <w:num w:numId="7">
    <w:abstractNumId w:val="23"/>
  </w:num>
  <w:num w:numId="8">
    <w:abstractNumId w:val="14"/>
  </w:num>
  <w:num w:numId="9">
    <w:abstractNumId w:val="20"/>
  </w:num>
  <w:num w:numId="10">
    <w:abstractNumId w:val="15"/>
  </w:num>
  <w:num w:numId="11">
    <w:abstractNumId w:val="24"/>
  </w:num>
  <w:num w:numId="12">
    <w:abstractNumId w:val="18"/>
  </w:num>
  <w:num w:numId="13">
    <w:abstractNumId w:val="11"/>
  </w:num>
  <w:num w:numId="14">
    <w:abstractNumId w:val="5"/>
  </w:num>
  <w:num w:numId="15">
    <w:abstractNumId w:val="17"/>
  </w:num>
  <w:num w:numId="16">
    <w:abstractNumId w:val="21"/>
  </w:num>
  <w:num w:numId="17">
    <w:abstractNumId w:val="0"/>
  </w:num>
  <w:num w:numId="18">
    <w:abstractNumId w:val="9"/>
  </w:num>
  <w:num w:numId="19">
    <w:abstractNumId w:val="16"/>
  </w:num>
  <w:num w:numId="20">
    <w:abstractNumId w:val="3"/>
  </w:num>
  <w:num w:numId="21">
    <w:abstractNumId w:val="6"/>
  </w:num>
  <w:num w:numId="22">
    <w:abstractNumId w:val="8"/>
  </w:num>
  <w:num w:numId="23">
    <w:abstractNumId w:val="22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0B"/>
    <w:rsid w:val="000127EB"/>
    <w:rsid w:val="00023A2B"/>
    <w:rsid w:val="0002712E"/>
    <w:rsid w:val="00027535"/>
    <w:rsid w:val="00030D0D"/>
    <w:rsid w:val="000425E1"/>
    <w:rsid w:val="00060397"/>
    <w:rsid w:val="000626CE"/>
    <w:rsid w:val="00063548"/>
    <w:rsid w:val="00073E21"/>
    <w:rsid w:val="0007498C"/>
    <w:rsid w:val="00090037"/>
    <w:rsid w:val="00090BE4"/>
    <w:rsid w:val="000930C7"/>
    <w:rsid w:val="000937BA"/>
    <w:rsid w:val="000A1942"/>
    <w:rsid w:val="000B0173"/>
    <w:rsid w:val="000B039D"/>
    <w:rsid w:val="000B568D"/>
    <w:rsid w:val="000B6212"/>
    <w:rsid w:val="000B7EE0"/>
    <w:rsid w:val="000C52B8"/>
    <w:rsid w:val="000D5633"/>
    <w:rsid w:val="000E38C1"/>
    <w:rsid w:val="000E3FF8"/>
    <w:rsid w:val="000F706A"/>
    <w:rsid w:val="000F7B92"/>
    <w:rsid w:val="00126727"/>
    <w:rsid w:val="001319AC"/>
    <w:rsid w:val="0014530C"/>
    <w:rsid w:val="001467C9"/>
    <w:rsid w:val="00147DF6"/>
    <w:rsid w:val="00151155"/>
    <w:rsid w:val="00155474"/>
    <w:rsid w:val="00155A93"/>
    <w:rsid w:val="00157250"/>
    <w:rsid w:val="00160DED"/>
    <w:rsid w:val="0016744B"/>
    <w:rsid w:val="001712C3"/>
    <w:rsid w:val="00175E73"/>
    <w:rsid w:val="001768EB"/>
    <w:rsid w:val="00177459"/>
    <w:rsid w:val="00181327"/>
    <w:rsid w:val="00183DF0"/>
    <w:rsid w:val="00193A19"/>
    <w:rsid w:val="001A3F20"/>
    <w:rsid w:val="001B2A56"/>
    <w:rsid w:val="001B4F97"/>
    <w:rsid w:val="001B5CCE"/>
    <w:rsid w:val="001C2EF0"/>
    <w:rsid w:val="001D11F6"/>
    <w:rsid w:val="001D173E"/>
    <w:rsid w:val="001D25D8"/>
    <w:rsid w:val="001D765A"/>
    <w:rsid w:val="001F604F"/>
    <w:rsid w:val="00201998"/>
    <w:rsid w:val="00202996"/>
    <w:rsid w:val="00204D6A"/>
    <w:rsid w:val="0021276C"/>
    <w:rsid w:val="00216C3F"/>
    <w:rsid w:val="00222372"/>
    <w:rsid w:val="00224F0C"/>
    <w:rsid w:val="002306F1"/>
    <w:rsid w:val="00231842"/>
    <w:rsid w:val="002406FD"/>
    <w:rsid w:val="0024314B"/>
    <w:rsid w:val="002464A9"/>
    <w:rsid w:val="002470CB"/>
    <w:rsid w:val="00250416"/>
    <w:rsid w:val="00252BD5"/>
    <w:rsid w:val="002650DA"/>
    <w:rsid w:val="00267F82"/>
    <w:rsid w:val="00270731"/>
    <w:rsid w:val="002878D7"/>
    <w:rsid w:val="0029168D"/>
    <w:rsid w:val="00296563"/>
    <w:rsid w:val="002C4516"/>
    <w:rsid w:val="002C55DE"/>
    <w:rsid w:val="002C5D11"/>
    <w:rsid w:val="002D6D4C"/>
    <w:rsid w:val="002E30FC"/>
    <w:rsid w:val="002E7CF0"/>
    <w:rsid w:val="002F7CC7"/>
    <w:rsid w:val="0031261F"/>
    <w:rsid w:val="00326041"/>
    <w:rsid w:val="00327DB6"/>
    <w:rsid w:val="003315E7"/>
    <w:rsid w:val="003328B4"/>
    <w:rsid w:val="003341D4"/>
    <w:rsid w:val="0036229D"/>
    <w:rsid w:val="00362ADF"/>
    <w:rsid w:val="00390AA5"/>
    <w:rsid w:val="003B3087"/>
    <w:rsid w:val="003C296D"/>
    <w:rsid w:val="003E4971"/>
    <w:rsid w:val="003F421E"/>
    <w:rsid w:val="00416F09"/>
    <w:rsid w:val="004377F6"/>
    <w:rsid w:val="0044004F"/>
    <w:rsid w:val="004549E4"/>
    <w:rsid w:val="00455596"/>
    <w:rsid w:val="00457036"/>
    <w:rsid w:val="00462DF4"/>
    <w:rsid w:val="00470BDF"/>
    <w:rsid w:val="00483086"/>
    <w:rsid w:val="00484D93"/>
    <w:rsid w:val="004A20BE"/>
    <w:rsid w:val="004C68E6"/>
    <w:rsid w:val="004E2CD2"/>
    <w:rsid w:val="00517B29"/>
    <w:rsid w:val="00520724"/>
    <w:rsid w:val="0052132B"/>
    <w:rsid w:val="005213BE"/>
    <w:rsid w:val="005260E2"/>
    <w:rsid w:val="005309E9"/>
    <w:rsid w:val="00533349"/>
    <w:rsid w:val="00541952"/>
    <w:rsid w:val="00545C55"/>
    <w:rsid w:val="00565579"/>
    <w:rsid w:val="00580E0E"/>
    <w:rsid w:val="00587179"/>
    <w:rsid w:val="00590D61"/>
    <w:rsid w:val="005A1506"/>
    <w:rsid w:val="005A5A67"/>
    <w:rsid w:val="005A73D0"/>
    <w:rsid w:val="005B4E42"/>
    <w:rsid w:val="005C000A"/>
    <w:rsid w:val="005C0ED8"/>
    <w:rsid w:val="005C636C"/>
    <w:rsid w:val="005D2CBA"/>
    <w:rsid w:val="005D5C55"/>
    <w:rsid w:val="005D71C5"/>
    <w:rsid w:val="005E0D2D"/>
    <w:rsid w:val="005E5087"/>
    <w:rsid w:val="005E6762"/>
    <w:rsid w:val="005F1249"/>
    <w:rsid w:val="00607704"/>
    <w:rsid w:val="006102C5"/>
    <w:rsid w:val="0061177E"/>
    <w:rsid w:val="00642E48"/>
    <w:rsid w:val="00651607"/>
    <w:rsid w:val="006671A4"/>
    <w:rsid w:val="00684E59"/>
    <w:rsid w:val="0069224A"/>
    <w:rsid w:val="00693638"/>
    <w:rsid w:val="00694654"/>
    <w:rsid w:val="006955E1"/>
    <w:rsid w:val="006A6F24"/>
    <w:rsid w:val="006B148A"/>
    <w:rsid w:val="006B154A"/>
    <w:rsid w:val="006B623A"/>
    <w:rsid w:val="006C046B"/>
    <w:rsid w:val="006C4AFA"/>
    <w:rsid w:val="006C5555"/>
    <w:rsid w:val="006C6237"/>
    <w:rsid w:val="006E0155"/>
    <w:rsid w:val="006E504D"/>
    <w:rsid w:val="006E67C9"/>
    <w:rsid w:val="006E7A09"/>
    <w:rsid w:val="00716D7C"/>
    <w:rsid w:val="00751052"/>
    <w:rsid w:val="00772311"/>
    <w:rsid w:val="00775F75"/>
    <w:rsid w:val="0079440D"/>
    <w:rsid w:val="007A4BEA"/>
    <w:rsid w:val="007B5E75"/>
    <w:rsid w:val="007D1CEA"/>
    <w:rsid w:val="007D3DA9"/>
    <w:rsid w:val="007D7305"/>
    <w:rsid w:val="007F3339"/>
    <w:rsid w:val="007F3DDF"/>
    <w:rsid w:val="008048DD"/>
    <w:rsid w:val="0081097F"/>
    <w:rsid w:val="00827220"/>
    <w:rsid w:val="0083604B"/>
    <w:rsid w:val="0085242F"/>
    <w:rsid w:val="0085321A"/>
    <w:rsid w:val="00860907"/>
    <w:rsid w:val="00864747"/>
    <w:rsid w:val="00871230"/>
    <w:rsid w:val="00873A87"/>
    <w:rsid w:val="00876A79"/>
    <w:rsid w:val="008867A6"/>
    <w:rsid w:val="00890E2D"/>
    <w:rsid w:val="00895D7B"/>
    <w:rsid w:val="008B4529"/>
    <w:rsid w:val="008C6FC4"/>
    <w:rsid w:val="008D7357"/>
    <w:rsid w:val="009036D2"/>
    <w:rsid w:val="00906677"/>
    <w:rsid w:val="00921118"/>
    <w:rsid w:val="00921B0E"/>
    <w:rsid w:val="00924A2E"/>
    <w:rsid w:val="00930E13"/>
    <w:rsid w:val="0093712D"/>
    <w:rsid w:val="00942508"/>
    <w:rsid w:val="00954EB7"/>
    <w:rsid w:val="00961AB7"/>
    <w:rsid w:val="00981C07"/>
    <w:rsid w:val="00983614"/>
    <w:rsid w:val="00983827"/>
    <w:rsid w:val="00995586"/>
    <w:rsid w:val="009A1C87"/>
    <w:rsid w:val="009B6CDE"/>
    <w:rsid w:val="009D6B50"/>
    <w:rsid w:val="009E203D"/>
    <w:rsid w:val="00A035B9"/>
    <w:rsid w:val="00A036A8"/>
    <w:rsid w:val="00A04D0E"/>
    <w:rsid w:val="00A10FD5"/>
    <w:rsid w:val="00A11B99"/>
    <w:rsid w:val="00A1518D"/>
    <w:rsid w:val="00A3287C"/>
    <w:rsid w:val="00A6249A"/>
    <w:rsid w:val="00A7146E"/>
    <w:rsid w:val="00A772D4"/>
    <w:rsid w:val="00A8250D"/>
    <w:rsid w:val="00A82837"/>
    <w:rsid w:val="00A91EC9"/>
    <w:rsid w:val="00AA0623"/>
    <w:rsid w:val="00AB5EFD"/>
    <w:rsid w:val="00AC28D6"/>
    <w:rsid w:val="00AD64FE"/>
    <w:rsid w:val="00AD682B"/>
    <w:rsid w:val="00AD7D00"/>
    <w:rsid w:val="00AF544F"/>
    <w:rsid w:val="00B00646"/>
    <w:rsid w:val="00B00D6E"/>
    <w:rsid w:val="00B012AB"/>
    <w:rsid w:val="00B01CEC"/>
    <w:rsid w:val="00B26A1A"/>
    <w:rsid w:val="00B37C22"/>
    <w:rsid w:val="00B4156B"/>
    <w:rsid w:val="00B52E9E"/>
    <w:rsid w:val="00B53E03"/>
    <w:rsid w:val="00B565A9"/>
    <w:rsid w:val="00B6554C"/>
    <w:rsid w:val="00B73CCE"/>
    <w:rsid w:val="00B745FB"/>
    <w:rsid w:val="00B81B93"/>
    <w:rsid w:val="00B975E1"/>
    <w:rsid w:val="00BA3DB4"/>
    <w:rsid w:val="00BC1F6C"/>
    <w:rsid w:val="00BC404B"/>
    <w:rsid w:val="00BC45EE"/>
    <w:rsid w:val="00BD09D2"/>
    <w:rsid w:val="00BD4AAD"/>
    <w:rsid w:val="00BE02C2"/>
    <w:rsid w:val="00BF7E18"/>
    <w:rsid w:val="00C1117D"/>
    <w:rsid w:val="00C13B4B"/>
    <w:rsid w:val="00C17F9D"/>
    <w:rsid w:val="00C40937"/>
    <w:rsid w:val="00C41964"/>
    <w:rsid w:val="00C502D1"/>
    <w:rsid w:val="00C51925"/>
    <w:rsid w:val="00C51EB4"/>
    <w:rsid w:val="00C57788"/>
    <w:rsid w:val="00C65EEF"/>
    <w:rsid w:val="00C66BC8"/>
    <w:rsid w:val="00C67FEC"/>
    <w:rsid w:val="00C7730E"/>
    <w:rsid w:val="00C82A63"/>
    <w:rsid w:val="00C85CB6"/>
    <w:rsid w:val="00C903D0"/>
    <w:rsid w:val="00CA18C3"/>
    <w:rsid w:val="00CA219C"/>
    <w:rsid w:val="00CC2186"/>
    <w:rsid w:val="00CD17F2"/>
    <w:rsid w:val="00CD7B26"/>
    <w:rsid w:val="00CE500B"/>
    <w:rsid w:val="00CE7E3E"/>
    <w:rsid w:val="00CF2827"/>
    <w:rsid w:val="00D16D46"/>
    <w:rsid w:val="00D204E3"/>
    <w:rsid w:val="00D231D7"/>
    <w:rsid w:val="00D239C9"/>
    <w:rsid w:val="00D30DE3"/>
    <w:rsid w:val="00D33D5C"/>
    <w:rsid w:val="00D4289C"/>
    <w:rsid w:val="00D517F4"/>
    <w:rsid w:val="00D60AE6"/>
    <w:rsid w:val="00D72856"/>
    <w:rsid w:val="00D732B4"/>
    <w:rsid w:val="00D7417D"/>
    <w:rsid w:val="00DC62AF"/>
    <w:rsid w:val="00DD446A"/>
    <w:rsid w:val="00DD6531"/>
    <w:rsid w:val="00DF3FA8"/>
    <w:rsid w:val="00DF4352"/>
    <w:rsid w:val="00E0127F"/>
    <w:rsid w:val="00E0386A"/>
    <w:rsid w:val="00E152E3"/>
    <w:rsid w:val="00E20901"/>
    <w:rsid w:val="00E25DFA"/>
    <w:rsid w:val="00E42476"/>
    <w:rsid w:val="00E62025"/>
    <w:rsid w:val="00E638DE"/>
    <w:rsid w:val="00E67796"/>
    <w:rsid w:val="00E84418"/>
    <w:rsid w:val="00E90D0B"/>
    <w:rsid w:val="00E97388"/>
    <w:rsid w:val="00EA0BC2"/>
    <w:rsid w:val="00EA7A42"/>
    <w:rsid w:val="00EB079C"/>
    <w:rsid w:val="00EB0B92"/>
    <w:rsid w:val="00EB0BBC"/>
    <w:rsid w:val="00EB4D24"/>
    <w:rsid w:val="00EB6A86"/>
    <w:rsid w:val="00EC7A2D"/>
    <w:rsid w:val="00EE1ADF"/>
    <w:rsid w:val="00EE4E49"/>
    <w:rsid w:val="00EF2CB8"/>
    <w:rsid w:val="00F018CF"/>
    <w:rsid w:val="00F26002"/>
    <w:rsid w:val="00F43359"/>
    <w:rsid w:val="00F479AC"/>
    <w:rsid w:val="00F47BA9"/>
    <w:rsid w:val="00F52177"/>
    <w:rsid w:val="00F52DCC"/>
    <w:rsid w:val="00F55D43"/>
    <w:rsid w:val="00F561B1"/>
    <w:rsid w:val="00F566FF"/>
    <w:rsid w:val="00F573B4"/>
    <w:rsid w:val="00F60E02"/>
    <w:rsid w:val="00F712D2"/>
    <w:rsid w:val="00F77130"/>
    <w:rsid w:val="00F847CB"/>
    <w:rsid w:val="00F85921"/>
    <w:rsid w:val="00FA3A84"/>
    <w:rsid w:val="00FA641C"/>
    <w:rsid w:val="00FB58A3"/>
    <w:rsid w:val="00FC09EE"/>
    <w:rsid w:val="00FD5958"/>
    <w:rsid w:val="00FD7856"/>
    <w:rsid w:val="00FE51E6"/>
    <w:rsid w:val="00FE681A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E1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2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E1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2FEA-19BE-4BC7-A7D4-321E637D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2019-03-15T08:07:00Z</cp:lastPrinted>
  <dcterms:created xsi:type="dcterms:W3CDTF">2019-04-08T06:36:00Z</dcterms:created>
  <dcterms:modified xsi:type="dcterms:W3CDTF">2019-04-08T06:36:00Z</dcterms:modified>
</cp:coreProperties>
</file>