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jc w:val="center"/>
      </w:pPr>
      <w:r>
        <w:rPr>
          <w:rFonts w:cs="Times New Roman"/>
          <w:sz w:val="28"/>
          <w:szCs w:val="28"/>
        </w:rPr>
        <w:t xml:space="preserve"> </w:t>
      </w:r>
      <w:r>
        <w:rPr>
          <w:drawing>
            <wp:inline distB="0" distL="0" distR="0" distT="0">
              <wp:extent cx="609600" cy="8286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609600" cy="828675"/>
                      </a:xfrm>
                      <a:prstGeom prst="rect">
                        <a:avLst/>
                      </a:prstGeom>
                      <a:noFill/>
                      <a:ln w="9525">
                        <a:noFill/>
                        <a:miter lim="800000"/>
                        <a:headEnd/>
                        <a:tailEnd/>
                      </a:ln>
                    </pic:spPr>
                  </pic:pic>
                </a:graphicData>
              </a:graphic>
            </wp:inline>
          </w:drawing>
        </w:rPr>
      </w:r>
    </w:p>
    <w:p>
      <w:pPr>
        <w:pStyle w:val="style0"/>
        <w:spacing w:after="0" w:before="240" w:line="100" w:lineRule="atLeast"/>
        <w:jc w:val="center"/>
      </w:pPr>
      <w:r>
        <w:rPr>
          <w:rFonts w:eastAsia="Times New Roman"/>
          <w:b/>
          <w:sz w:val="28"/>
          <w:szCs w:val="28"/>
          <w:lang w:eastAsia="ru-RU"/>
        </w:rPr>
        <w:t>РОССИЙСКАЯ ФЕДЕРАЦИЯ</w:t>
      </w:r>
    </w:p>
    <w:p>
      <w:pPr>
        <w:pStyle w:val="style0"/>
        <w:spacing w:after="0" w:before="120" w:line="100" w:lineRule="atLeast"/>
        <w:jc w:val="center"/>
      </w:pPr>
      <w:r>
        <w:rPr>
          <w:rFonts w:eastAsia="Times New Roman"/>
          <w:b/>
          <w:sz w:val="28"/>
          <w:szCs w:val="28"/>
          <w:lang w:eastAsia="ru-RU"/>
        </w:rPr>
        <w:t>ОРЛОВСКИЙ ОБЛАСТНОЙ СОВЕТ НАРОДНЫХ ДЕПУТАТОВ</w:t>
      </w:r>
    </w:p>
    <w:p>
      <w:pPr>
        <w:pStyle w:val="style0"/>
        <w:spacing w:after="0" w:before="240" w:line="100" w:lineRule="atLeast"/>
        <w:jc w:val="center"/>
      </w:pPr>
      <w:r>
        <w:rPr>
          <w:rFonts w:eastAsia="Times New Roman"/>
          <w:b/>
          <w:sz w:val="28"/>
          <w:szCs w:val="28"/>
          <w:lang w:eastAsia="ru-RU"/>
        </w:rPr>
        <w:t>ПОСТАНОВЛЕНИЕ</w:t>
      </w:r>
    </w:p>
    <w:tbl>
      <w:tblPr>
        <w:jc w:val="left"/>
        <w:tblBorders/>
        <w:tblInd w:type="dxa" w:w="-108"/>
      </w:tblPr>
      <w:tblGrid>
        <w:gridCol w:w="5068"/>
        <w:gridCol w:w="4783"/>
      </w:tblGrid>
      <w:tr>
        <w:trPr>
          <w:cantSplit w:val="false"/>
        </w:trPr>
        <w:tc>
          <w:tcPr>
            <w:tcW w:type="dxa" w:w="5068"/>
            <w:tcBorders/>
            <w:shd w:fill="FFFFFF" w:val="clear"/>
            <w:tcMar>
              <w:top w:type="dxa" w:w="0"/>
              <w:left w:type="dxa" w:w="108"/>
              <w:bottom w:type="dxa" w:w="0"/>
              <w:right w:type="dxa" w:w="108"/>
            </w:tcMar>
          </w:tcPr>
          <w:p>
            <w:pPr>
              <w:pStyle w:val="style0"/>
              <w:spacing w:after="0" w:before="480" w:line="100" w:lineRule="atLeast"/>
            </w:pPr>
            <w:r>
              <w:rPr>
                <w:rFonts w:eastAsia="Times New Roman"/>
                <w:sz w:val="24"/>
                <w:szCs w:val="24"/>
                <w:lang w:eastAsia="ru-RU"/>
              </w:rPr>
              <w:t>от 31 мая 2013 года</w:t>
            </w:r>
          </w:p>
        </w:tc>
        <w:tc>
          <w:tcPr>
            <w:tcW w:type="dxa" w:w="4783"/>
            <w:tcBorders/>
            <w:shd w:fill="FFFFFF" w:val="clear"/>
            <w:tcMar>
              <w:top w:type="dxa" w:w="0"/>
              <w:left w:type="dxa" w:w="108"/>
              <w:bottom w:type="dxa" w:w="0"/>
              <w:right w:type="dxa" w:w="108"/>
            </w:tcMar>
          </w:tcPr>
          <w:p>
            <w:pPr>
              <w:pStyle w:val="style0"/>
              <w:spacing w:after="0" w:before="480" w:line="100" w:lineRule="atLeast"/>
              <w:jc w:val="right"/>
            </w:pPr>
            <w:r>
              <w:rPr>
                <w:rFonts w:eastAsia="Times New Roman"/>
                <w:sz w:val="24"/>
                <w:szCs w:val="24"/>
                <w:lang w:eastAsia="ru-RU"/>
              </w:rPr>
              <w:t xml:space="preserve">№ </w:t>
            </w:r>
            <w:r>
              <w:rPr>
                <w:rFonts w:eastAsia="Times New Roman"/>
                <w:sz w:val="24"/>
                <w:szCs w:val="24"/>
                <w:lang w:eastAsia="ru-RU"/>
              </w:rPr>
              <w:t>20/503-ОС</w:t>
            </w:r>
          </w:p>
        </w:tc>
      </w:tr>
    </w:tbl>
    <w:p>
      <w:pPr>
        <w:pStyle w:val="style0"/>
        <w:spacing w:after="0" w:before="0" w:line="100" w:lineRule="atLeast"/>
        <w:jc w:val="both"/>
      </w:pPr>
      <w:r>
        <w:rPr>
          <w:rFonts w:eastAsia="Times New Roman"/>
          <w:sz w:val="24"/>
          <w:szCs w:val="24"/>
          <w:lang w:eastAsia="ru-RU"/>
        </w:rPr>
        <w:t>город Орёл</w:t>
      </w:r>
    </w:p>
    <w:tbl>
      <w:tblPr>
        <w:jc w:val="left"/>
        <w:tblBorders/>
        <w:tblInd w:type="dxa" w:w="-108"/>
      </w:tblPr>
      <w:tblGrid>
        <w:gridCol w:w="5070"/>
      </w:tblGrid>
      <w:tr>
        <w:trPr>
          <w:cantSplit w:val="false"/>
        </w:trPr>
        <w:tc>
          <w:tcPr>
            <w:tcW w:type="dxa" w:w="5070"/>
            <w:tcBorders/>
            <w:shd w:fill="FFFFFF" w:val="clear"/>
            <w:tcMar>
              <w:top w:type="dxa" w:w="0"/>
              <w:left w:type="dxa" w:w="108"/>
              <w:bottom w:type="dxa" w:w="0"/>
              <w:right w:type="dxa" w:w="108"/>
            </w:tcMar>
          </w:tcPr>
          <w:p>
            <w:pPr>
              <w:pStyle w:val="style66"/>
              <w:widowControl/>
              <w:spacing w:after="120" w:before="120"/>
              <w:ind w:hanging="0" w:left="0" w:right="0"/>
            </w:pPr>
            <w:r>
              <w:rPr>
                <w:rFonts w:ascii="Times New Roman" w:cs="Times New Roman" w:hAnsi="Times New Roman"/>
                <w:b w:val="false"/>
                <w:sz w:val="24"/>
              </w:rPr>
              <w:t>Об отчете Контрольно-счетной палаты Орловской области о работе в 2012 году</w:t>
            </w:r>
          </w:p>
        </w:tc>
      </w:tr>
    </w:tbl>
    <w:p>
      <w:pPr>
        <w:pStyle w:val="style0"/>
        <w:spacing w:after="0" w:before="0" w:line="100" w:lineRule="atLeast"/>
        <w:ind w:firstLine="709" w:left="0" w:right="0"/>
        <w:jc w:val="both"/>
      </w:pPr>
      <w:r>
        <w:rPr>
          <w:sz w:val="24"/>
        </w:rPr>
        <w:t xml:space="preserve">В соответствии со статьей 20 Закона Орловской области от 12 июля 2011 года </w:t>
        <w:br/>
        <w:t xml:space="preserve">№ 1229-ОЗ "О Контрольно-счетной палате Орловской области" </w:t>
      </w:r>
      <w:r>
        <w:rPr>
          <w:bCs/>
          <w:sz w:val="24"/>
          <w:szCs w:val="24"/>
        </w:rPr>
        <w:t>Орловский областной Совет народных депутатов</w:t>
      </w:r>
      <w:r>
        <w:rPr>
          <w:sz w:val="24"/>
          <w:szCs w:val="24"/>
        </w:rPr>
        <w:t xml:space="preserve"> ПОСТАНОВЛЯЕТ:</w:t>
      </w:r>
    </w:p>
    <w:p>
      <w:pPr>
        <w:pStyle w:val="style0"/>
        <w:spacing w:after="0" w:before="0" w:line="100" w:lineRule="atLeast"/>
        <w:ind w:firstLine="567" w:left="0" w:right="0"/>
        <w:jc w:val="both"/>
      </w:pPr>
      <w:r>
        <w:rPr>
          <w:sz w:val="24"/>
          <w:szCs w:val="24"/>
        </w:rPr>
        <w:t>1. Отчет Контрольно-счетной палаты Орловской области о работе в 2012 году принять к сведению.</w:t>
      </w:r>
    </w:p>
    <w:p>
      <w:pPr>
        <w:pStyle w:val="style0"/>
        <w:spacing w:after="0" w:before="0" w:line="100" w:lineRule="atLeast"/>
        <w:ind w:firstLine="567" w:left="0" w:right="0"/>
        <w:jc w:val="both"/>
      </w:pPr>
      <w:r>
        <w:rPr>
          <w:spacing w:val="-6"/>
          <w:sz w:val="24"/>
          <w:szCs w:val="24"/>
        </w:rPr>
        <w:t>2. Настоящее постановление опубликовать в газете "Орловская правда".</w:t>
      </w:r>
    </w:p>
    <w:p>
      <w:pPr>
        <w:pStyle w:val="style65"/>
        <w:widowControl/>
        <w:spacing w:after="0" w:before="0"/>
        <w:ind w:firstLine="567" w:left="0" w:right="0"/>
      </w:pPr>
      <w:r>
        <w:rPr>
          <w:rFonts w:ascii="Times New Roman" w:cs="Times New Roman" w:hAnsi="Times New Roman"/>
          <w:sz w:val="24"/>
          <w:szCs w:val="24"/>
        </w:rPr>
        <w:t>3. Контроль за исполнением настоящего постановления возложить на комитет по бюджету, налогам и финансам Орловского областного Совета народных депутатов.</w:t>
      </w:r>
    </w:p>
    <w:tbl>
      <w:tblPr>
        <w:jc w:val="left"/>
        <w:tblBorders/>
        <w:tblInd w:type="dxa" w:w="-108"/>
      </w:tblPr>
      <w:tblGrid>
        <w:gridCol w:w="4926"/>
        <w:gridCol w:w="4925"/>
      </w:tblGrid>
      <w:tr>
        <w:trPr>
          <w:cantSplit w:val="false"/>
        </w:trPr>
        <w:tc>
          <w:tcPr>
            <w:tcW w:type="dxa" w:w="4926"/>
            <w:tcBorders/>
            <w:shd w:fill="FFFFFF" w:val="clear"/>
            <w:tcMar>
              <w:top w:type="dxa" w:w="0"/>
              <w:left w:type="dxa" w:w="108"/>
              <w:bottom w:type="dxa" w:w="0"/>
              <w:right w:type="dxa" w:w="108"/>
            </w:tcMar>
          </w:tcPr>
          <w:p>
            <w:pPr>
              <w:pStyle w:val="style0"/>
              <w:spacing w:after="0" w:before="720" w:line="100" w:lineRule="atLeast"/>
            </w:pPr>
            <w:r>
              <w:rPr>
                <w:rFonts w:eastAsia="Times New Roman"/>
                <w:sz w:val="24"/>
                <w:szCs w:val="24"/>
                <w:lang w:eastAsia="ru-RU"/>
              </w:rPr>
              <w:t>Председатель Орловского</w:t>
              <w:br/>
              <w:t xml:space="preserve">областного Совета народных депутатов </w:t>
            </w:r>
          </w:p>
        </w:tc>
        <w:tc>
          <w:tcPr>
            <w:tcW w:type="dxa" w:w="4925"/>
            <w:tcBorders/>
            <w:shd w:fill="FFFFFF" w:val="clear"/>
            <w:tcMar>
              <w:top w:type="dxa" w:w="0"/>
              <w:left w:type="dxa" w:w="108"/>
              <w:bottom w:type="dxa" w:w="0"/>
              <w:right w:type="dxa" w:w="108"/>
            </w:tcMar>
          </w:tcPr>
          <w:p>
            <w:pPr>
              <w:pStyle w:val="style0"/>
              <w:spacing w:after="0" w:before="480" w:line="100" w:lineRule="atLeast"/>
              <w:jc w:val="right"/>
            </w:pPr>
            <w:r>
              <w:rPr>
                <w:rFonts w:eastAsia="Times New Roman"/>
                <w:sz w:val="24"/>
                <w:szCs w:val="24"/>
                <w:lang w:eastAsia="ru-RU"/>
              </w:rPr>
              <w:t>Л.С.</w:t>
            </w:r>
            <w:r>
              <w:rPr>
                <w:rFonts w:eastAsia="Times New Roman"/>
                <w:sz w:val="24"/>
                <w:szCs w:val="24"/>
                <w:lang w:eastAsia="ru-RU" w:val="en-US"/>
              </w:rPr>
              <w:t xml:space="preserve"> </w:t>
            </w:r>
            <w:r>
              <w:rPr>
                <w:rFonts w:eastAsia="Times New Roman"/>
                <w:sz w:val="24"/>
                <w:szCs w:val="24"/>
                <w:lang w:eastAsia="ru-RU"/>
              </w:rPr>
              <w:t>Музалевский</w:t>
            </w:r>
          </w:p>
        </w:tc>
      </w:tr>
    </w:tbl>
    <w:p>
      <w:pPr>
        <w:sectPr>
          <w:footerReference r:id="rId3" w:type="first"/>
          <w:type w:val="nextPage"/>
          <w:pgSz w:h="16838" w:w="11906"/>
          <w:pgMar w:bottom="1134" w:footer="720" w:gutter="0" w:header="0" w:left="1418" w:right="851" w:top="567"/>
          <w:pgNumType w:fmt="decimal"/>
          <w:formProt w:val="false"/>
          <w:titlePg/>
          <w:textDirection w:val="lrTb"/>
          <w:docGrid w:charSpace="-6145" w:linePitch="299" w:type="default"/>
        </w:sectPr>
        <w:pStyle w:val="style48"/>
        <w:spacing w:after="0" w:before="0"/>
      </w:pPr>
      <w:r>
        <w:rPr/>
      </w:r>
    </w:p>
    <w:p>
      <w:pPr>
        <w:pStyle w:val="style0"/>
        <w:spacing w:after="0" w:before="0" w:line="100" w:lineRule="atLeast"/>
        <w:jc w:val="center"/>
      </w:pPr>
      <w:r>
        <w:rPr>
          <w:b/>
          <w:sz w:val="24"/>
          <w:szCs w:val="24"/>
        </w:rPr>
        <w:t xml:space="preserve">Отчет </w:t>
      </w:r>
    </w:p>
    <w:p>
      <w:pPr>
        <w:pStyle w:val="style0"/>
        <w:spacing w:after="0" w:before="0" w:line="100" w:lineRule="atLeast"/>
        <w:jc w:val="center"/>
      </w:pPr>
      <w:r>
        <w:rPr>
          <w:b/>
          <w:sz w:val="24"/>
          <w:szCs w:val="24"/>
        </w:rPr>
        <w:t>о работе Контрольно-счетной палаты Орловской области в 2012 году</w:t>
      </w:r>
    </w:p>
    <w:p>
      <w:pPr>
        <w:pStyle w:val="style41"/>
        <w:spacing w:after="0" w:before="120" w:line="100" w:lineRule="atLeast"/>
        <w:ind w:firstLine="567" w:left="0" w:right="20"/>
        <w:jc w:val="both"/>
      </w:pPr>
      <w:r>
        <w:rPr>
          <w:rFonts w:ascii="Times New Roman" w:hAnsi="Times New Roman"/>
          <w:sz w:val="24"/>
          <w:szCs w:val="24"/>
        </w:rPr>
        <w:t xml:space="preserve">Настоящий отчет о деятельности </w:t>
      </w:r>
      <w:bookmarkStart w:id="0" w:name="OLE_LINK1"/>
      <w:bookmarkStart w:id="1" w:name="OLE_LINK2"/>
      <w:r>
        <w:rPr>
          <w:rFonts w:ascii="Times New Roman" w:hAnsi="Times New Roman"/>
          <w:sz w:val="24"/>
          <w:szCs w:val="24"/>
        </w:rPr>
        <w:t>Контрольно-счетной палаты</w:t>
      </w:r>
      <w:bookmarkEnd w:id="0"/>
      <w:bookmarkEnd w:id="1"/>
      <w:r>
        <w:rPr>
          <w:rFonts w:ascii="Times New Roman" w:hAnsi="Times New Roman"/>
          <w:sz w:val="24"/>
          <w:szCs w:val="24"/>
        </w:rPr>
        <w:t xml:space="preserve"> Орловской области за 2012 год подготовлен в соответствии с требованиями статей 13 и 20 Закона Орловской области от 12 июля 2011 года № 1229-ОЗ "О Контрольно-счетной палате Орловской области" (далее также – Закон № 1229-ОЗ).</w:t>
      </w:r>
    </w:p>
    <w:p>
      <w:pPr>
        <w:pStyle w:val="style41"/>
        <w:spacing w:after="0" w:before="0" w:line="100" w:lineRule="atLeast"/>
        <w:ind w:firstLine="567" w:left="0" w:right="20"/>
        <w:jc w:val="both"/>
      </w:pPr>
      <w:r>
        <w:rPr>
          <w:rFonts w:ascii="Times New Roman" w:hAnsi="Times New Roman"/>
          <w:sz w:val="24"/>
          <w:szCs w:val="24"/>
        </w:rPr>
        <w:t xml:space="preserve">Контрольно-счетная палата Орловской области (далее также </w:t>
      </w:r>
      <w:r>
        <w:rPr>
          <w:rFonts w:ascii="Times New Roman" w:hAnsi="Times New Roman"/>
          <w:sz w:val="24"/>
          <w:szCs w:val="24"/>
          <w:lang w:val="ru-RU"/>
        </w:rPr>
        <w:t>–</w:t>
      </w:r>
      <w:r>
        <w:rPr>
          <w:rFonts w:ascii="Times New Roman" w:hAnsi="Times New Roman"/>
          <w:sz w:val="24"/>
          <w:szCs w:val="24"/>
        </w:rPr>
        <w:t xml:space="preserve"> Контрольно-счетная палата, КСП) осуществляла свою работу в соответствии с положениями Бюджетного кодекса Российской Федерации (далее</w:t>
      </w:r>
      <w:r>
        <w:rPr>
          <w:rFonts w:ascii="Times New Roman" w:hAnsi="Times New Roman"/>
          <w:sz w:val="24"/>
          <w:szCs w:val="24"/>
          <w:lang w:val="ru-RU"/>
        </w:rPr>
        <w:t xml:space="preserve"> также – </w:t>
      </w:r>
      <w:r>
        <w:rPr>
          <w:rFonts w:ascii="Times New Roman" w:hAnsi="Times New Roman"/>
          <w:sz w:val="24"/>
          <w:szCs w:val="24"/>
        </w:rPr>
        <w:t>Б</w:t>
      </w:r>
      <w:r>
        <w:rPr>
          <w:rFonts w:ascii="Times New Roman" w:hAnsi="Times New Roman"/>
          <w:sz w:val="24"/>
          <w:szCs w:val="24"/>
          <w:lang w:val="ru-RU"/>
        </w:rPr>
        <w:t>юджетный кодекс)</w:t>
      </w:r>
      <w:r>
        <w:rPr>
          <w:rFonts w:ascii="Times New Roman" w:hAnsi="Times New Roman"/>
          <w:sz w:val="24"/>
          <w:szCs w:val="24"/>
        </w:rPr>
        <w:t xml:space="preserve">, Законов Орловской области </w:t>
      </w:r>
      <w:r>
        <w:rPr>
          <w:rFonts w:ascii="Times New Roman" w:hAnsi="Times New Roman"/>
          <w:sz w:val="24"/>
          <w:szCs w:val="24"/>
          <w:lang w:val="ru-RU"/>
        </w:rPr>
        <w:br/>
      </w:r>
      <w:r>
        <w:rPr>
          <w:rFonts w:ascii="Times New Roman" w:hAnsi="Times New Roman"/>
          <w:sz w:val="24"/>
          <w:szCs w:val="24"/>
        </w:rPr>
        <w:t xml:space="preserve">от 12 июля 2011 года № 1229-ОЗ "О Контрольно-счетной палате Орловской области" и </w:t>
      </w:r>
      <w:r>
        <w:rPr>
          <w:rFonts w:ascii="Times New Roman" w:hAnsi="Times New Roman"/>
          <w:sz w:val="24"/>
          <w:szCs w:val="24"/>
          <w:lang w:val="ru-RU"/>
        </w:rPr>
        <w:br/>
      </w:r>
      <w:r>
        <w:rPr>
          <w:rFonts w:ascii="Times New Roman" w:hAnsi="Times New Roman"/>
          <w:sz w:val="24"/>
          <w:szCs w:val="24"/>
        </w:rPr>
        <w:t>от 6 декабря 2007 года № 724-ОЗ "О бюджетном процессе в Орловской области" (далее также – Закон № 724-ОЗ) на основании годового плана работы, принятого решением Коллегии Контрольно-счетной палаты.</w:t>
      </w:r>
    </w:p>
    <w:p>
      <w:pPr>
        <w:pStyle w:val="style0"/>
        <w:spacing w:after="0" w:before="0" w:line="100" w:lineRule="atLeast"/>
        <w:ind w:firstLine="567" w:left="0" w:right="0"/>
        <w:jc w:val="both"/>
      </w:pPr>
      <w:r>
        <w:rPr>
          <w:sz w:val="24"/>
          <w:szCs w:val="24"/>
        </w:rPr>
        <w:t xml:space="preserve">Действующая </w:t>
      </w:r>
      <w:r>
        <w:rPr>
          <w:sz w:val="24"/>
          <w:szCs w:val="24"/>
          <w:lang w:val="en-US"/>
        </w:rPr>
        <w:t xml:space="preserve">система </w:t>
      </w:r>
      <w:r>
        <w:rPr>
          <w:sz w:val="24"/>
          <w:szCs w:val="24"/>
        </w:rPr>
        <w:t xml:space="preserve">внешнего финансового </w:t>
      </w:r>
      <w:r>
        <w:rPr>
          <w:sz w:val="24"/>
          <w:szCs w:val="24"/>
          <w:lang w:val="en-US"/>
        </w:rPr>
        <w:t>контроля интегрирована в основные составляющие бюджетного процесса и предполагает непрерывный трехлетний цикл контроля за исполнением бюджетов каждого финансового года, реализуемый на трех последовательных стадиях</w:t>
      </w:r>
      <w:r>
        <w:rPr>
          <w:sz w:val="24"/>
          <w:szCs w:val="24"/>
        </w:rPr>
        <w:t>.</w:t>
      </w:r>
      <w:r>
        <w:rPr>
          <w:sz w:val="24"/>
          <w:szCs w:val="24"/>
          <w:lang w:eastAsia="ru-RU"/>
        </w:rPr>
        <w:t xml:space="preserve"> </w:t>
      </w:r>
    </w:p>
    <w:p>
      <w:pPr>
        <w:pStyle w:val="style0"/>
        <w:spacing w:after="120" w:before="0" w:line="100" w:lineRule="atLeast"/>
        <w:ind w:firstLine="567" w:left="0" w:right="0"/>
        <w:jc w:val="both"/>
      </w:pPr>
      <w:r>
        <w:rPr>
          <w:sz w:val="24"/>
          <w:szCs w:val="24"/>
          <w:lang w:val="en-US"/>
        </w:rPr>
        <w:t xml:space="preserve">В соответствии с действующим законодательством Контрольно-счетная палата является участником бюджетного процесса, обладающим бюджетными полномочиями. Контрольно-счетная палата как постоянно действующий орган государственного финансового контроля осуществляет предварительный, текущий и последующий контроль. </w:t>
      </w:r>
      <w:r>
        <w:rPr>
          <w:sz w:val="24"/>
          <w:szCs w:val="24"/>
        </w:rPr>
        <w:t>КСП</w:t>
      </w:r>
      <w:r>
        <w:rPr>
          <w:sz w:val="24"/>
          <w:szCs w:val="24"/>
          <w:lang w:val="en-US"/>
        </w:rPr>
        <w:t xml:space="preserve"> проводит проверку формирования и исполнения</w:t>
      </w:r>
      <w:r>
        <w:rPr>
          <w:sz w:val="24"/>
          <w:szCs w:val="24"/>
        </w:rPr>
        <w:t xml:space="preserve"> </w:t>
      </w:r>
      <w:r>
        <w:rPr>
          <w:sz w:val="24"/>
          <w:szCs w:val="24"/>
          <w:lang w:val="en-US"/>
        </w:rPr>
        <w:t>областного бюджета и бюджета территориального фонда обязательного медицинского страхования</w:t>
      </w:r>
      <w:r>
        <w:rPr>
          <w:sz w:val="24"/>
          <w:szCs w:val="24"/>
        </w:rPr>
        <w:t xml:space="preserve"> (далее также – ТФОМС)</w:t>
      </w:r>
      <w:r>
        <w:rPr>
          <w:sz w:val="24"/>
          <w:szCs w:val="24"/>
          <w:lang w:val="en-US"/>
        </w:rPr>
        <w:t>.</w:t>
      </w:r>
    </w:p>
    <w:p>
      <w:pPr>
        <w:pStyle w:val="style0"/>
        <w:spacing w:after="0" w:before="0" w:line="100" w:lineRule="atLeast"/>
        <w:jc w:val="center"/>
      </w:pPr>
      <w:r>
        <w:rPr>
          <w:b/>
          <w:sz w:val="24"/>
          <w:szCs w:val="24"/>
        </w:rPr>
        <w:t>Основные результаты деятельности</w:t>
      </w:r>
    </w:p>
    <w:p>
      <w:pPr>
        <w:pStyle w:val="style0"/>
        <w:spacing w:after="0" w:before="120" w:line="100" w:lineRule="atLeast"/>
        <w:ind w:firstLine="567" w:left="0" w:right="0"/>
        <w:jc w:val="both"/>
      </w:pPr>
      <w:r>
        <w:rPr>
          <w:sz w:val="24"/>
          <w:szCs w:val="24"/>
          <w:lang w:val="en-US"/>
        </w:rPr>
        <w:t>Контрольно-счетная палата в 2012 году осуществляла комплекс контрольн</w:t>
      </w:r>
      <w:r>
        <w:rPr>
          <w:sz w:val="24"/>
          <w:szCs w:val="24"/>
        </w:rPr>
        <w:t>ых</w:t>
      </w:r>
      <w:r>
        <w:rPr>
          <w:sz w:val="24"/>
          <w:szCs w:val="24"/>
          <w:lang w:val="en-US"/>
        </w:rPr>
        <w:t xml:space="preserve"> и экспертно-аналитических мероприятий, результаты которых позволили оценить действенность мер, принимаемых органами исполнительной </w:t>
      </w:r>
      <w:r>
        <w:rPr>
          <w:sz w:val="24"/>
          <w:szCs w:val="24"/>
        </w:rPr>
        <w:t xml:space="preserve">государственной </w:t>
      </w:r>
      <w:r>
        <w:rPr>
          <w:sz w:val="24"/>
          <w:szCs w:val="24"/>
          <w:lang w:val="en-US"/>
        </w:rPr>
        <w:t>власти, проверить эффективность использования</w:t>
      </w:r>
      <w:r>
        <w:rPr>
          <w:sz w:val="24"/>
          <w:szCs w:val="24"/>
        </w:rPr>
        <w:t xml:space="preserve"> и целевой характер</w:t>
      </w:r>
      <w:r>
        <w:rPr>
          <w:sz w:val="24"/>
          <w:szCs w:val="24"/>
          <w:lang w:val="en-US"/>
        </w:rPr>
        <w:t xml:space="preserve"> бюджетных средств, направляемых на модернизацию здравоохранения</w:t>
      </w:r>
      <w:r>
        <w:rPr>
          <w:sz w:val="24"/>
          <w:szCs w:val="24"/>
        </w:rPr>
        <w:t xml:space="preserve"> и образования</w:t>
      </w:r>
      <w:r>
        <w:rPr>
          <w:sz w:val="24"/>
          <w:szCs w:val="24"/>
          <w:lang w:val="en-US"/>
        </w:rPr>
        <w:t>,</w:t>
      </w:r>
      <w:r>
        <w:rPr>
          <w:sz w:val="24"/>
          <w:szCs w:val="24"/>
        </w:rPr>
        <w:t xml:space="preserve"> развитие дорожной сети, выполнение переданных муниципальным районам государственных полномочий, мероприятия по капитальному ремонту многоквартирных домов, оплату труда в учреждениях образования, целевое использование субсидий и другие. </w:t>
      </w:r>
    </w:p>
    <w:p>
      <w:pPr>
        <w:pStyle w:val="style41"/>
        <w:spacing w:after="0" w:before="0" w:line="100" w:lineRule="atLeast"/>
        <w:ind w:firstLine="567" w:left="0" w:right="23"/>
        <w:jc w:val="both"/>
      </w:pPr>
      <w:r>
        <w:rPr>
          <w:rFonts w:ascii="Times New Roman" w:hAnsi="Times New Roman"/>
          <w:sz w:val="24"/>
          <w:szCs w:val="24"/>
        </w:rPr>
        <w:t>За 2012 год сотрудниками Контрольно-счетной палаты проведено 61 (шестьдесят одно) мероприятие, в том числе 12 контрольных и 49 экспертно-аналитических. Проведенными проверками был</w:t>
      </w:r>
      <w:r>
        <w:rPr>
          <w:rFonts w:ascii="Times New Roman" w:hAnsi="Times New Roman"/>
          <w:sz w:val="24"/>
          <w:szCs w:val="24"/>
          <w:lang w:val="ru-RU"/>
        </w:rPr>
        <w:t>о</w:t>
      </w:r>
      <w:r>
        <w:rPr>
          <w:rFonts w:ascii="Times New Roman" w:hAnsi="Times New Roman"/>
          <w:sz w:val="24"/>
          <w:szCs w:val="24"/>
        </w:rPr>
        <w:t xml:space="preserve"> охвачено 40 объектов, из них</w:t>
      </w:r>
      <w:r>
        <w:rPr>
          <w:rFonts w:ascii="Times New Roman" w:hAnsi="Times New Roman"/>
          <w:sz w:val="24"/>
          <w:szCs w:val="24"/>
          <w:lang w:val="ru-RU"/>
        </w:rPr>
        <w:t>:</w:t>
      </w:r>
      <w:r>
        <w:rPr>
          <w:rFonts w:ascii="Times New Roman" w:hAnsi="Times New Roman"/>
          <w:sz w:val="24"/>
          <w:szCs w:val="24"/>
        </w:rPr>
        <w:t xml:space="preserve"> 12 объектов, или 30,0 процента являются органами местного самоуправления; 13 объектов, или 32,5 процента </w:t>
      </w:r>
      <w:r>
        <w:rPr>
          <w:rFonts w:ascii="Times New Roman" w:hAnsi="Times New Roman"/>
          <w:sz w:val="24"/>
          <w:szCs w:val="24"/>
          <w:lang w:val="ru-RU"/>
        </w:rPr>
        <w:t xml:space="preserve">– </w:t>
      </w:r>
      <w:r>
        <w:rPr>
          <w:rFonts w:ascii="Times New Roman" w:hAnsi="Times New Roman"/>
          <w:sz w:val="24"/>
          <w:szCs w:val="24"/>
        </w:rPr>
        <w:t>бюджетными учреждениями; 6 объектов, или 15,0 процента – органами государственной власти; 1 муниципальное учреждение; 1 казенное учреждение и 7 иных организаций.</w:t>
      </w:r>
    </w:p>
    <w:p>
      <w:pPr>
        <w:pStyle w:val="style41"/>
        <w:spacing w:after="0" w:before="0" w:line="100" w:lineRule="atLeast"/>
        <w:ind w:firstLine="567" w:left="0" w:right="23"/>
        <w:jc w:val="both"/>
      </w:pPr>
      <w:r>
        <w:rPr>
          <w:rFonts w:ascii="Times New Roman" w:hAnsi="Times New Roman"/>
          <w:sz w:val="24"/>
          <w:szCs w:val="24"/>
        </w:rPr>
        <w:t>По сравнению с предыдущими периодами наблюдается рост проведенного количества как контрольных, так и экспертно-аналитических мероприятий. Динамика контрольных и экспертно-аналитических мероприятий представлена на рисунке 1.</w:t>
      </w:r>
    </w:p>
    <w:p>
      <w:pPr>
        <w:pStyle w:val="style41"/>
        <w:spacing w:after="0" w:before="0" w:line="100" w:lineRule="atLeast"/>
        <w:ind w:firstLine="567" w:left="0" w:right="23"/>
        <w:jc w:val="right"/>
      </w:pPr>
      <w:r>
        <w:rPr>
          <w:rFonts w:ascii="Times New Roman" w:hAnsi="Times New Roman"/>
          <w:sz w:val="24"/>
          <w:szCs w:val="24"/>
        </w:rPr>
      </w:r>
    </w:p>
    <w:p>
      <w:pPr>
        <w:pStyle w:val="style41"/>
        <w:pageBreakBefore/>
        <w:spacing w:after="0" w:before="0" w:line="100" w:lineRule="atLeast"/>
        <w:ind w:firstLine="567" w:left="0" w:right="23"/>
        <w:jc w:val="right"/>
      </w:pPr>
      <w:r>
        <w:rPr>
          <w:rFonts w:ascii="Times New Roman" w:hAnsi="Times New Roman"/>
          <w:sz w:val="24"/>
          <w:szCs w:val="24"/>
        </w:rPr>
        <w:t>Рисунок 1</w:t>
      </w:r>
    </w:p>
    <w:p>
      <w:pPr>
        <w:pStyle w:val="style41"/>
        <w:spacing w:after="0" w:before="0" w:line="100" w:lineRule="atLeast"/>
        <w:ind w:hanging="0" w:left="0" w:right="23"/>
        <w:jc w:val="center"/>
      </w:pPr>
      <w:r>
        <w:rPr>
          <w:rFonts w:ascii="Times New Roman" w:hAnsi="Times New Roman"/>
          <w:sz w:val="24"/>
          <w:szCs w:val="24"/>
        </w:rPr>
      </w:r>
    </w:p>
    <w:p>
      <w:pPr>
        <w:pStyle w:val="style41"/>
        <w:spacing w:after="0" w:before="120" w:line="100" w:lineRule="atLeast"/>
        <w:ind w:firstLine="567" w:left="0" w:right="23"/>
        <w:jc w:val="both"/>
      </w:pPr>
      <w:r>
        <w:rPr>
          <w:rFonts w:ascii="Times New Roman" w:hAnsi="Times New Roman"/>
          <w:b/>
          <w:sz w:val="24"/>
          <w:szCs w:val="24"/>
        </w:rPr>
        <w:t>Контрольные мероприятия.</w:t>
      </w:r>
      <w:r>
        <w:rPr>
          <w:rFonts w:ascii="Times New Roman" w:hAnsi="Times New Roman"/>
          <w:sz w:val="24"/>
          <w:szCs w:val="24"/>
        </w:rPr>
        <w:t xml:space="preserve"> Объем проверенных в ходе проведения контрольных мероприятий средств составил 1260,4 млн рублей, из них:</w:t>
      </w:r>
    </w:p>
    <w:p>
      <w:pPr>
        <w:pStyle w:val="style41"/>
        <w:spacing w:after="0" w:before="0" w:line="100" w:lineRule="atLeast"/>
        <w:ind w:firstLine="567" w:left="0" w:right="23"/>
        <w:jc w:val="both"/>
      </w:pPr>
      <w:r>
        <w:rPr>
          <w:rFonts w:ascii="Times New Roman" w:hAnsi="Times New Roman"/>
          <w:sz w:val="24"/>
          <w:szCs w:val="24"/>
        </w:rPr>
        <w:t xml:space="preserve">средства областного бюджета </w:t>
      </w:r>
      <w:r>
        <w:rPr>
          <w:rFonts w:ascii="Times New Roman" w:hAnsi="Times New Roman"/>
          <w:sz w:val="24"/>
          <w:szCs w:val="24"/>
          <w:lang w:val="ru-RU"/>
        </w:rPr>
        <w:t>–</w:t>
      </w:r>
      <w:r>
        <w:rPr>
          <w:rFonts w:ascii="Times New Roman" w:hAnsi="Times New Roman"/>
          <w:sz w:val="24"/>
          <w:szCs w:val="24"/>
        </w:rPr>
        <w:t xml:space="preserve"> 931,4 млн рублей (73,9 процента);</w:t>
      </w:r>
    </w:p>
    <w:p>
      <w:pPr>
        <w:pStyle w:val="style41"/>
        <w:spacing w:after="0" w:before="0" w:line="100" w:lineRule="atLeast"/>
        <w:ind w:firstLine="567" w:left="0" w:right="23"/>
        <w:jc w:val="both"/>
      </w:pPr>
      <w:r>
        <w:rPr>
          <w:rFonts w:ascii="Times New Roman" w:hAnsi="Times New Roman"/>
          <w:sz w:val="24"/>
          <w:szCs w:val="24"/>
        </w:rPr>
        <w:t xml:space="preserve">средства федерального бюджета </w:t>
      </w:r>
      <w:r>
        <w:rPr>
          <w:rFonts w:ascii="Times New Roman" w:hAnsi="Times New Roman"/>
          <w:sz w:val="24"/>
          <w:szCs w:val="24"/>
          <w:lang w:val="ru-RU"/>
        </w:rPr>
        <w:t>–</w:t>
      </w:r>
      <w:r>
        <w:rPr>
          <w:rFonts w:ascii="Times New Roman" w:hAnsi="Times New Roman"/>
          <w:sz w:val="24"/>
          <w:szCs w:val="24"/>
        </w:rPr>
        <w:t xml:space="preserve"> 168,3 млн рублей (13,4 процента);</w:t>
      </w:r>
    </w:p>
    <w:p>
      <w:pPr>
        <w:pStyle w:val="style41"/>
        <w:spacing w:after="0" w:before="0" w:line="100" w:lineRule="atLeast"/>
        <w:ind w:firstLine="567" w:left="0" w:right="23"/>
        <w:jc w:val="both"/>
      </w:pPr>
      <w:r>
        <w:rPr>
          <w:rFonts w:ascii="Times New Roman" w:hAnsi="Times New Roman"/>
          <w:sz w:val="24"/>
          <w:szCs w:val="24"/>
        </w:rPr>
        <w:t xml:space="preserve">средства местного бюджета </w:t>
      </w:r>
      <w:r>
        <w:rPr>
          <w:rFonts w:ascii="Times New Roman" w:hAnsi="Times New Roman"/>
          <w:sz w:val="24"/>
          <w:szCs w:val="24"/>
          <w:lang w:val="ru-RU"/>
        </w:rPr>
        <w:t>–</w:t>
      </w:r>
      <w:r>
        <w:rPr>
          <w:rFonts w:ascii="Times New Roman" w:hAnsi="Times New Roman"/>
          <w:sz w:val="24"/>
          <w:szCs w:val="24"/>
        </w:rPr>
        <w:t xml:space="preserve"> 134,7 млн рублей (10,7 процента);</w:t>
      </w:r>
    </w:p>
    <w:p>
      <w:pPr>
        <w:pStyle w:val="style41"/>
        <w:spacing w:after="0" w:before="0" w:line="100" w:lineRule="atLeast"/>
        <w:ind w:firstLine="567" w:left="0" w:right="23"/>
        <w:jc w:val="both"/>
      </w:pPr>
      <w:r>
        <w:rPr>
          <w:rFonts w:ascii="Times New Roman" w:hAnsi="Times New Roman"/>
          <w:sz w:val="24"/>
          <w:szCs w:val="24"/>
        </w:rPr>
        <w:t xml:space="preserve">внебюджетные средства </w:t>
      </w:r>
      <w:r>
        <w:rPr>
          <w:rFonts w:ascii="Times New Roman" w:hAnsi="Times New Roman"/>
          <w:sz w:val="24"/>
          <w:szCs w:val="24"/>
          <w:lang w:val="ru-RU"/>
        </w:rPr>
        <w:t>–</w:t>
      </w:r>
      <w:r>
        <w:rPr>
          <w:rFonts w:ascii="Times New Roman" w:hAnsi="Times New Roman"/>
          <w:sz w:val="24"/>
          <w:szCs w:val="24"/>
        </w:rPr>
        <w:t xml:space="preserve"> 26,1 млн рублей (2,0 процента).</w:t>
      </w:r>
    </w:p>
    <w:p>
      <w:pPr>
        <w:pStyle w:val="style41"/>
        <w:spacing w:after="0" w:before="0" w:line="100" w:lineRule="atLeast"/>
        <w:ind w:firstLine="567" w:left="0" w:right="23"/>
        <w:jc w:val="both"/>
      </w:pPr>
      <w:r>
        <w:rPr>
          <w:rFonts w:ascii="Times New Roman" w:hAnsi="Times New Roman"/>
          <w:sz w:val="24"/>
          <w:szCs w:val="24"/>
        </w:rPr>
        <w:t>По объему проверенных средств наибольшая доля приходится на проверки в муниципальных образованиях – 38,6 процента, в учреждениях социальной сферы – 30,7 процента, по общегосударственным вопросам – 15,9 процента, в сфере национальной экономики – 7,9 процента. Структура объема контрольных мероприятий представлена на рисунке 2.</w:t>
      </w:r>
    </w:p>
    <w:p>
      <w:pPr>
        <w:pStyle w:val="style41"/>
        <w:spacing w:after="0" w:before="0" w:line="100" w:lineRule="atLeast"/>
        <w:ind w:firstLine="567" w:left="0" w:right="23"/>
        <w:jc w:val="right"/>
      </w:pPr>
      <w:r>
        <w:rPr>
          <w:rFonts w:ascii="Times New Roman" w:hAnsi="Times New Roman"/>
          <w:sz w:val="24"/>
          <w:szCs w:val="24"/>
        </w:rPr>
        <w:t>Рисунок 2</w:t>
      </w:r>
    </w:p>
    <w:p>
      <w:pPr>
        <w:pStyle w:val="style41"/>
        <w:spacing w:after="0" w:before="0" w:line="100" w:lineRule="atLeast"/>
        <w:ind w:hanging="0" w:left="0" w:right="23"/>
        <w:jc w:val="center"/>
      </w:pPr>
      <w:r>
        <w:rPr>
          <w:rFonts w:ascii="Times New Roman" w:hAnsi="Times New Roman"/>
          <w:sz w:val="24"/>
          <w:szCs w:val="24"/>
        </w:rPr>
      </w:r>
    </w:p>
    <w:p>
      <w:pPr>
        <w:pStyle w:val="style41"/>
        <w:spacing w:after="0" w:before="0" w:line="100" w:lineRule="atLeast"/>
        <w:ind w:firstLine="567" w:left="0" w:right="23"/>
        <w:jc w:val="both"/>
      </w:pPr>
      <w:r>
        <w:rPr>
          <w:rFonts w:ascii="Times New Roman" w:hAnsi="Times New Roman"/>
          <w:sz w:val="24"/>
          <w:szCs w:val="24"/>
        </w:rPr>
        <w:t>По результатам проведенных контрольных мероприятий выявлены нарушения на общую сумму 410,2 млн рублей, что составило 32,5 процента от общего объема проверенных средств. Как нецелевое использование классифицированы нарушения на сумму 1,4 млн рублей, неэффективное использование — 7,0 млн рублей и 401,8 млн рублей – нарушения, связанные с несоблюдением требований действующего законодательства, нормативных правовых актов федерального, областного и муниципального уровня в финансово-бюджетной сфере, локальных актов федеральных министерств и ведомств, органов исполнительной государственной власти специальной компетенции Орловской области.</w:t>
      </w:r>
    </w:p>
    <w:p>
      <w:pPr>
        <w:pStyle w:val="style41"/>
        <w:spacing w:after="0" w:before="0" w:line="100" w:lineRule="atLeast"/>
        <w:ind w:firstLine="567" w:left="0" w:right="23"/>
        <w:jc w:val="both"/>
      </w:pPr>
      <w:r>
        <w:rPr>
          <w:rFonts w:ascii="Times New Roman" w:hAnsi="Times New Roman"/>
          <w:sz w:val="24"/>
          <w:szCs w:val="24"/>
        </w:rPr>
        <w:t>Анализ объема и структуры выявленных нарушений за последние три года свидетельствует об изменении структуры выявленных нарушений в 2012 году по сравнению с 2011 годом. Это происходит на фоне роста нецелевого использования бюджетных средств и значительного сокращения нарушений, связанных с неэффективным использованием. Динамика общего объема установленных нарушений, нецелевого и неэффективного использования бюджетных средств представлена на рисунке 3.</w:t>
      </w:r>
    </w:p>
    <w:p>
      <w:pPr>
        <w:pStyle w:val="style41"/>
        <w:spacing w:after="0" w:before="0" w:line="100" w:lineRule="atLeast"/>
        <w:ind w:firstLine="567" w:left="0" w:right="23"/>
        <w:jc w:val="right"/>
      </w:pPr>
      <w:r>
        <w:rPr>
          <w:rFonts w:ascii="Times New Roman" w:hAnsi="Times New Roman"/>
          <w:sz w:val="24"/>
          <w:szCs w:val="24"/>
        </w:rPr>
        <w:t>Рисунок 3</w:t>
      </w:r>
    </w:p>
    <w:p>
      <w:pPr>
        <w:pStyle w:val="style41"/>
        <w:spacing w:after="0" w:before="0" w:line="100" w:lineRule="atLeast"/>
        <w:ind w:hanging="0" w:left="0" w:right="23"/>
        <w:jc w:val="center"/>
      </w:pPr>
      <w:r>
        <w:rPr>
          <w:rFonts w:ascii="Times New Roman" w:hAnsi="Times New Roman"/>
          <w:sz w:val="24"/>
          <w:szCs w:val="24"/>
        </w:rPr>
      </w:r>
    </w:p>
    <w:p>
      <w:pPr>
        <w:pStyle w:val="style41"/>
        <w:spacing w:after="0" w:before="120" w:line="100" w:lineRule="atLeast"/>
        <w:ind w:firstLine="567" w:left="20" w:right="23"/>
        <w:jc w:val="both"/>
      </w:pPr>
      <w:r>
        <w:rPr>
          <w:rFonts w:ascii="Times New Roman" w:hAnsi="Times New Roman"/>
          <w:sz w:val="24"/>
          <w:szCs w:val="24"/>
        </w:rPr>
        <w:t>Общий объем устраненных нарушений в финансово-бюджетной сфере по итогам принятых на основании актов проверок мер составил 256,7 млн рублей, в том числе возмещено в областной бюджет 0,1 млн рублей.</w:t>
      </w:r>
    </w:p>
    <w:p>
      <w:pPr>
        <w:pStyle w:val="style41"/>
        <w:spacing w:after="0" w:before="120" w:line="100" w:lineRule="atLeast"/>
        <w:ind w:firstLine="567" w:left="20" w:right="23"/>
        <w:jc w:val="both"/>
      </w:pPr>
      <w:r>
        <w:rPr>
          <w:rFonts w:ascii="Times New Roman" w:hAnsi="Times New Roman"/>
          <w:b/>
          <w:sz w:val="24"/>
          <w:szCs w:val="24"/>
        </w:rPr>
        <w:t>Экспертно-аналитическая деятельность.</w:t>
      </w:r>
      <w:r>
        <w:rPr>
          <w:rFonts w:ascii="Times New Roman" w:hAnsi="Times New Roman"/>
          <w:sz w:val="24"/>
          <w:szCs w:val="24"/>
        </w:rPr>
        <w:t xml:space="preserve"> В рамках экспертно-аналитической деятельности в отчетном периоде сотрудниками КСП было проведено 49 мероприятий, из них:</w:t>
      </w:r>
    </w:p>
    <w:p>
      <w:pPr>
        <w:pStyle w:val="style41"/>
        <w:spacing w:after="0" w:before="0" w:line="100" w:lineRule="atLeast"/>
        <w:ind w:firstLine="567" w:left="20" w:right="23"/>
        <w:jc w:val="both"/>
      </w:pPr>
      <w:r>
        <w:rPr>
          <w:rFonts w:ascii="Times New Roman" w:hAnsi="Times New Roman"/>
          <w:sz w:val="24"/>
          <w:szCs w:val="24"/>
        </w:rPr>
        <w:t>внешняя проверка годовой бюджетной отчетности главных администраторов средств областного бюджета с общим объемом финансовых ресурсов 23447,8 млн рублей – 20 экспертиз;</w:t>
      </w:r>
    </w:p>
    <w:p>
      <w:pPr>
        <w:pStyle w:val="style41"/>
        <w:spacing w:after="0" w:before="0" w:line="100" w:lineRule="atLeast"/>
        <w:ind w:firstLine="567" w:left="20" w:right="23"/>
        <w:jc w:val="both"/>
      </w:pPr>
      <w:r>
        <w:rPr>
          <w:rFonts w:ascii="Times New Roman" w:hAnsi="Times New Roman"/>
          <w:sz w:val="24"/>
          <w:szCs w:val="24"/>
        </w:rPr>
        <w:t>проверка годового отчета об исполнении областного бюджета за 2011 год и годового отчета об исполнении бюджета ТФОМС за 2011 год с общим объемом финансовых ресурсов 50002,5 млн рублей – 2 экспертизы;</w:t>
      </w:r>
    </w:p>
    <w:p>
      <w:pPr>
        <w:pStyle w:val="style41"/>
        <w:spacing w:after="0" w:before="0" w:line="100" w:lineRule="atLeast"/>
        <w:ind w:firstLine="567" w:left="20" w:right="23"/>
        <w:jc w:val="both"/>
      </w:pPr>
      <w:r>
        <w:rPr>
          <w:rFonts w:ascii="Times New Roman" w:hAnsi="Times New Roman"/>
          <w:sz w:val="24"/>
          <w:szCs w:val="24"/>
        </w:rPr>
        <w:t xml:space="preserve">проведение финансовой экспертизы и подготовка заключения на законопроект </w:t>
        <w:br/>
        <w:t>"Об областном бюджете на 2013 год и на плановый период 2014 и 2015 годов" с объемом финансовых ресурсов 164997,5 млн рублей;</w:t>
      </w:r>
    </w:p>
    <w:p>
      <w:pPr>
        <w:pStyle w:val="style41"/>
        <w:spacing w:after="0" w:before="0" w:line="100" w:lineRule="atLeast"/>
        <w:ind w:firstLine="567" w:left="20" w:right="23"/>
        <w:jc w:val="both"/>
      </w:pPr>
      <w:r>
        <w:rPr>
          <w:rFonts w:ascii="Times New Roman" w:hAnsi="Times New Roman"/>
          <w:sz w:val="24"/>
          <w:szCs w:val="24"/>
        </w:rPr>
        <w:t xml:space="preserve">проведение финансовой экспертизы и подготовка заключения на законопроект </w:t>
        <w:br/>
        <w:t>"О бюджете Территориального фонда обязательного медицинского страхования Орловской области на 2013 год и на плановый период 2014 и 2015 годов" с объемом финансовых ресурсов 40021,3 млн рублей;</w:t>
      </w:r>
    </w:p>
    <w:p>
      <w:pPr>
        <w:pStyle w:val="style41"/>
        <w:spacing w:after="0" w:before="0" w:line="100" w:lineRule="atLeast"/>
        <w:ind w:firstLine="567" w:left="20" w:right="23"/>
        <w:jc w:val="both"/>
      </w:pPr>
      <w:r>
        <w:rPr>
          <w:rFonts w:ascii="Times New Roman" w:hAnsi="Times New Roman"/>
          <w:sz w:val="24"/>
          <w:szCs w:val="24"/>
        </w:rPr>
        <w:t xml:space="preserve">проведение финансовой экспертизы законопроектов о внесении изменений в Закон Орловской области от 3 ноября 2011 года № 1289-ОЗ "Об областном бюджете на 2012 год и на плановый период 2013 и 2014 годов" (далее также – Закон № 1289-ОЗ) с общим объемом финансовых ресурсов (изменения) 4629,9 млн рублей </w:t>
      </w:r>
      <w:r>
        <w:rPr>
          <w:rFonts w:ascii="Times New Roman" w:hAnsi="Times New Roman"/>
          <w:sz w:val="24"/>
          <w:szCs w:val="24"/>
          <w:lang w:val="ru-RU"/>
        </w:rPr>
        <w:t>–</w:t>
      </w:r>
      <w:r>
        <w:rPr>
          <w:rFonts w:ascii="Times New Roman" w:hAnsi="Times New Roman"/>
          <w:sz w:val="24"/>
          <w:szCs w:val="24"/>
        </w:rPr>
        <w:t xml:space="preserve"> 8 экспертиз;</w:t>
      </w:r>
    </w:p>
    <w:p>
      <w:pPr>
        <w:pStyle w:val="style41"/>
        <w:spacing w:after="0" w:before="0" w:line="100" w:lineRule="atLeast"/>
        <w:ind w:firstLine="567" w:left="20" w:right="23"/>
        <w:jc w:val="both"/>
      </w:pPr>
      <w:r>
        <w:rPr>
          <w:rFonts w:ascii="Times New Roman" w:hAnsi="Times New Roman"/>
          <w:sz w:val="24"/>
          <w:szCs w:val="24"/>
        </w:rPr>
        <w:t xml:space="preserve">проведение финансовой экспертизы законопроектов о внесении изменений в Закон Орловской области от 3 ноября 2011 года № 1290-ОЗ "О бюджете Территориального фонда обязательного медицинского страхования Орловской области на 2012 год и на плановый период 2013 и 2014 годов" с общим объемом финансовых ресурсов (изменения) 2805,1 млн рублей </w:t>
      </w:r>
      <w:r>
        <w:rPr>
          <w:rFonts w:ascii="Times New Roman" w:hAnsi="Times New Roman"/>
          <w:sz w:val="24"/>
          <w:szCs w:val="24"/>
          <w:lang w:val="ru-RU"/>
        </w:rPr>
        <w:t>–</w:t>
      </w:r>
      <w:r>
        <w:rPr>
          <w:rFonts w:ascii="Times New Roman" w:hAnsi="Times New Roman"/>
          <w:sz w:val="24"/>
          <w:szCs w:val="24"/>
        </w:rPr>
        <w:t xml:space="preserve"> 4 экспертизы;</w:t>
      </w:r>
    </w:p>
    <w:p>
      <w:pPr>
        <w:pStyle w:val="style41"/>
        <w:spacing w:after="0" w:before="0" w:line="100" w:lineRule="atLeast"/>
        <w:ind w:firstLine="567" w:left="20" w:right="23"/>
        <w:jc w:val="both"/>
      </w:pPr>
      <w:r>
        <w:rPr>
          <w:rFonts w:ascii="Times New Roman" w:hAnsi="Times New Roman"/>
          <w:sz w:val="24"/>
          <w:szCs w:val="24"/>
        </w:rPr>
        <w:t>экспертиза отчетов об исполнении областного бюджета за первый квартал, полугодие и девять месяцев с общим объемом финансовых ресурсов 35007,9 млн рублей – 3 экспертизы;</w:t>
      </w:r>
    </w:p>
    <w:p>
      <w:pPr>
        <w:pStyle w:val="style41"/>
        <w:spacing w:after="0" w:before="0" w:line="100" w:lineRule="atLeast"/>
        <w:ind w:firstLine="567" w:left="20" w:right="23"/>
        <w:jc w:val="both"/>
      </w:pPr>
      <w:r>
        <w:rPr>
          <w:rFonts w:ascii="Times New Roman" w:hAnsi="Times New Roman"/>
          <w:sz w:val="24"/>
          <w:szCs w:val="24"/>
        </w:rPr>
        <w:t>экспертиза отчетов об исполнении бюджета ТФОМС за первый квартал, полугодие и девять месяцев с общим объемом финансовых ресурсов 6038,8 млн рублей – 3 экспертизы;</w:t>
      </w:r>
    </w:p>
    <w:p>
      <w:pPr>
        <w:pStyle w:val="style41"/>
        <w:spacing w:after="0" w:before="0" w:line="100" w:lineRule="atLeast"/>
        <w:ind w:firstLine="567" w:left="20" w:right="23"/>
        <w:jc w:val="both"/>
      </w:pPr>
      <w:r>
        <w:rPr>
          <w:rFonts w:ascii="Times New Roman" w:hAnsi="Times New Roman"/>
          <w:sz w:val="24"/>
          <w:szCs w:val="24"/>
        </w:rPr>
        <w:t xml:space="preserve">проведение финансово-экономической экспертизы законопроектов ("О прогнозном плане (программе) приватизации государственного имущества Орловской области </w:t>
      </w:r>
      <w:r>
        <w:rPr>
          <w:rFonts w:ascii="Times New Roman" w:hAnsi="Times New Roman"/>
          <w:sz w:val="24"/>
          <w:szCs w:val="24"/>
          <w:lang w:val="ru-RU"/>
        </w:rPr>
        <w:br/>
      </w:r>
      <w:r>
        <w:rPr>
          <w:rFonts w:ascii="Times New Roman" w:hAnsi="Times New Roman"/>
          <w:sz w:val="24"/>
          <w:szCs w:val="24"/>
        </w:rPr>
        <w:t>на 201</w:t>
      </w:r>
      <w:r>
        <w:rPr>
          <w:rFonts w:ascii="Times New Roman" w:hAnsi="Times New Roman"/>
          <w:sz w:val="24"/>
          <w:szCs w:val="24"/>
          <w:lang w:val="ru-RU"/>
        </w:rPr>
        <w:t>2</w:t>
      </w:r>
      <w:r>
        <w:rPr>
          <w:rFonts w:ascii="Times New Roman" w:hAnsi="Times New Roman"/>
          <w:sz w:val="24"/>
          <w:szCs w:val="24"/>
        </w:rPr>
        <w:t xml:space="preserve"> год", "О прогнозном плане (программе) приватизации государственного имущества Орловской области на 2013 год, "О внесении изменений в Закон Орловской области "Об областной целевой программе Орловской области "Социальное развитие села Орловской области до 2012 года") с общим объемом финансовых ресурсов 973,5 млн рублей </w:t>
      </w:r>
      <w:r>
        <w:rPr>
          <w:rFonts w:ascii="Times New Roman" w:hAnsi="Times New Roman"/>
          <w:sz w:val="24"/>
          <w:szCs w:val="24"/>
          <w:lang w:val="ru-RU"/>
        </w:rPr>
        <w:t>–</w:t>
      </w:r>
      <w:r>
        <w:rPr>
          <w:rFonts w:ascii="Times New Roman" w:hAnsi="Times New Roman"/>
          <w:sz w:val="24"/>
          <w:szCs w:val="24"/>
        </w:rPr>
        <w:t xml:space="preserve"> </w:t>
      </w:r>
      <w:r>
        <w:rPr>
          <w:rFonts w:ascii="Times New Roman" w:hAnsi="Times New Roman"/>
          <w:sz w:val="24"/>
          <w:szCs w:val="24"/>
          <w:lang w:val="ru-RU"/>
        </w:rPr>
        <w:br/>
      </w:r>
      <w:r>
        <w:rPr>
          <w:rFonts w:ascii="Times New Roman" w:hAnsi="Times New Roman"/>
          <w:sz w:val="24"/>
          <w:szCs w:val="24"/>
        </w:rPr>
        <w:t>4 экспертизы;</w:t>
      </w:r>
    </w:p>
    <w:p>
      <w:pPr>
        <w:pStyle w:val="style41"/>
        <w:spacing w:after="0" w:before="0" w:line="100" w:lineRule="atLeast"/>
        <w:ind w:firstLine="567" w:left="20" w:right="23"/>
        <w:jc w:val="both"/>
      </w:pPr>
      <w:r>
        <w:rPr>
          <w:rFonts w:ascii="Times New Roman" w:hAnsi="Times New Roman"/>
          <w:sz w:val="24"/>
          <w:szCs w:val="24"/>
        </w:rPr>
        <w:t>прочие экспертно-аналитические мероприятия, в том числе:</w:t>
      </w:r>
    </w:p>
    <w:p>
      <w:pPr>
        <w:pStyle w:val="style41"/>
        <w:spacing w:after="0" w:before="0" w:line="100" w:lineRule="atLeast"/>
        <w:ind w:firstLine="567" w:left="0" w:right="23"/>
        <w:jc w:val="both"/>
      </w:pPr>
      <w:r>
        <w:rPr>
          <w:rFonts w:ascii="Times New Roman" w:hAnsi="Times New Roman"/>
          <w:sz w:val="24"/>
          <w:szCs w:val="24"/>
        </w:rPr>
        <w:t xml:space="preserve">совместное со Счетной палатой Российской Федерации экспертно-аналитическое мероприятие по вопросу мониторинга изменения тарифов на жилищно-коммунальные услуги организаций коммунального хозяйства Орловской области за период </w:t>
      </w:r>
      <w:r>
        <w:rPr>
          <w:rFonts w:ascii="Times New Roman" w:hAnsi="Times New Roman"/>
          <w:spacing w:val="-20"/>
          <w:sz w:val="24"/>
          <w:szCs w:val="24"/>
        </w:rPr>
        <w:t>2009 – 2012 годов</w:t>
      </w:r>
      <w:r>
        <w:rPr>
          <w:rFonts w:ascii="Times New Roman" w:hAnsi="Times New Roman"/>
          <w:sz w:val="24"/>
          <w:szCs w:val="24"/>
        </w:rPr>
        <w:t>;</w:t>
      </w:r>
    </w:p>
    <w:p>
      <w:pPr>
        <w:pStyle w:val="style41"/>
        <w:spacing w:after="0" w:before="0" w:line="100" w:lineRule="atLeast"/>
        <w:ind w:firstLine="567" w:left="20" w:right="23"/>
        <w:jc w:val="both"/>
      </w:pPr>
      <w:r>
        <w:rPr>
          <w:rFonts w:ascii="Times New Roman" w:hAnsi="Times New Roman"/>
          <w:sz w:val="24"/>
          <w:szCs w:val="24"/>
        </w:rPr>
        <w:t>отчет о работе Контрольно-счетной палаты Орловской области за 2011 год;</w:t>
      </w:r>
    </w:p>
    <w:p>
      <w:pPr>
        <w:pStyle w:val="style41"/>
        <w:spacing w:after="0" w:before="0" w:line="100" w:lineRule="atLeast"/>
        <w:ind w:firstLine="567" w:left="20" w:right="23"/>
        <w:jc w:val="both"/>
      </w:pPr>
      <w:r>
        <w:rPr>
          <w:rFonts w:ascii="Times New Roman" w:hAnsi="Times New Roman"/>
          <w:sz w:val="24"/>
          <w:szCs w:val="24"/>
        </w:rPr>
        <w:t xml:space="preserve">анализ исполнения доходной части бюджетов Верховского, Залегощенского, Хотынецкого и Шаблыкинского районов Орловской области </w:t>
      </w:r>
      <w:r>
        <w:rPr>
          <w:rFonts w:ascii="Times New Roman" w:hAnsi="Times New Roman"/>
          <w:spacing w:val="-20"/>
          <w:sz w:val="24"/>
          <w:szCs w:val="24"/>
        </w:rPr>
        <w:t>за полугодие 2012</w:t>
      </w:r>
      <w:r>
        <w:rPr>
          <w:rFonts w:ascii="Times New Roman" w:hAnsi="Times New Roman"/>
          <w:sz w:val="24"/>
          <w:szCs w:val="24"/>
        </w:rPr>
        <w:t xml:space="preserve"> </w:t>
      </w:r>
      <w:r>
        <w:rPr>
          <w:rFonts w:ascii="Times New Roman" w:hAnsi="Times New Roman"/>
          <w:spacing w:val="-20"/>
          <w:sz w:val="24"/>
          <w:szCs w:val="24"/>
        </w:rPr>
        <w:t>финансового года.</w:t>
      </w:r>
    </w:p>
    <w:p>
      <w:pPr>
        <w:pStyle w:val="style41"/>
        <w:spacing w:after="0" w:before="0" w:line="100" w:lineRule="atLeast"/>
        <w:ind w:firstLine="567" w:left="20" w:right="23"/>
        <w:jc w:val="both"/>
      </w:pPr>
      <w:r>
        <w:rPr>
          <w:rFonts w:ascii="Times New Roman" w:hAnsi="Times New Roman"/>
          <w:sz w:val="24"/>
          <w:szCs w:val="24"/>
        </w:rPr>
        <w:t>Всего сотрудниками КСП была проведена экспертиза законопроектов и бюджетной отчетности с общим объемом финансовых ресурсов (бюджетных средств) на 303503,9 млн рублей. Информация об итогах проведенных в 2012 году экспертно-аналитических мероприятий представлена в приложении 4 к настоящему отчету.</w:t>
      </w:r>
    </w:p>
    <w:p>
      <w:pPr>
        <w:pStyle w:val="style41"/>
        <w:spacing w:after="0" w:before="0" w:line="100" w:lineRule="atLeast"/>
        <w:ind w:firstLine="567" w:left="20" w:right="23"/>
        <w:jc w:val="both"/>
      </w:pPr>
      <w:r>
        <w:rPr>
          <w:rFonts w:ascii="Times New Roman" w:hAnsi="Times New Roman"/>
          <w:sz w:val="24"/>
          <w:szCs w:val="24"/>
        </w:rPr>
        <w:t>С учетом предложений и замечаний Контрольно-счетной палаты в 2012 году были приняты 27 законов Орловской области и иных нормативных правовых актов.</w:t>
      </w:r>
    </w:p>
    <w:p>
      <w:pPr>
        <w:pStyle w:val="style41"/>
        <w:spacing w:after="0" w:before="0" w:line="100" w:lineRule="atLeast"/>
        <w:ind w:firstLine="567" w:left="20" w:right="23"/>
        <w:jc w:val="both"/>
      </w:pPr>
      <w:r>
        <w:rPr>
          <w:rFonts w:ascii="Times New Roman" w:hAnsi="Times New Roman"/>
          <w:sz w:val="24"/>
          <w:szCs w:val="24"/>
        </w:rPr>
        <w:t>В соответствии со статьей 14 Закона № 1229-ОЗ результаты всех контрольных и экспертно-аналитических мероприятий подлежат рассмотрению на Коллегии Контрольно-счетной палаты. В 2012 году было проведено 15 заседаний, на которых рассмотрено 53 вопроса, относящихся к деятельности КСП, в том числе 30 вопросов по итогам проведенных мероприятий.</w:t>
      </w:r>
    </w:p>
    <w:p>
      <w:pPr>
        <w:pStyle w:val="style41"/>
        <w:spacing w:after="0" w:before="0" w:line="100" w:lineRule="atLeast"/>
        <w:ind w:firstLine="567" w:left="0" w:right="23"/>
        <w:jc w:val="both"/>
      </w:pPr>
      <w:r>
        <w:rPr>
          <w:rFonts w:ascii="Times New Roman" w:hAnsi="Times New Roman"/>
          <w:sz w:val="24"/>
          <w:szCs w:val="24"/>
        </w:rPr>
        <w:t>На основании решений Коллегии КСП по итогам проведенных в отчетном периоде контрольных и экспертно-аналитических мероприятий Губернатору Орловской области, Председателю Орловского областного Совета народных депутатов, заместителям Председателя Правительства Орловской области, председателям комитетов Орловского областного Совета народных депутатов, главам муниципальных районов и городских округов Орловской области, главным распорядителям средств областного бюджета направлялись представления, предписания, служебные записки, заключения, отчеты и иной информационный материал. Всего Контрольно-счетной палатой был направлен 61 материал по итогам деятельности органа внешнего финансового контроля.</w:t>
      </w:r>
    </w:p>
    <w:p>
      <w:pPr>
        <w:pStyle w:val="style41"/>
        <w:spacing w:after="0" w:before="0" w:line="100" w:lineRule="atLeast"/>
        <w:ind w:firstLine="567" w:left="0" w:right="23"/>
        <w:jc w:val="both"/>
      </w:pPr>
      <w:r>
        <w:rPr>
          <w:rFonts w:ascii="Times New Roman" w:hAnsi="Times New Roman"/>
          <w:sz w:val="24"/>
          <w:szCs w:val="24"/>
        </w:rPr>
        <w:t>Кроме того, в адрес Счетной палаты Российской Федерации в 2012 году была представлена информация по результатам проведенных мероприятий (1 контрольное и 1 экспертно-аналитическое).</w:t>
      </w:r>
    </w:p>
    <w:p>
      <w:pPr>
        <w:pStyle w:val="style41"/>
        <w:spacing w:after="0" w:before="0" w:line="100" w:lineRule="atLeast"/>
        <w:ind w:firstLine="567" w:left="0" w:right="23"/>
        <w:jc w:val="both"/>
      </w:pPr>
      <w:r>
        <w:rPr>
          <w:rFonts w:ascii="Times New Roman" w:hAnsi="Times New Roman"/>
          <w:sz w:val="24"/>
          <w:szCs w:val="24"/>
        </w:rPr>
        <w:t xml:space="preserve">В отчетном периоде Контрольно-счетной палатой была продолжена работа по расширению сферы взаимодействия и сотрудничества с органами финансового контроля федерального уровня, с муниципальными контрольно-счетными палатами Орловской области, с государственной корпорацией "Фонд содействия реформированию жилищно-коммунального хозяйства". </w:t>
      </w:r>
    </w:p>
    <w:p>
      <w:pPr>
        <w:pStyle w:val="style41"/>
        <w:spacing w:after="0" w:before="0" w:line="100" w:lineRule="atLeast"/>
        <w:ind w:firstLine="567" w:left="0" w:right="23"/>
        <w:jc w:val="both"/>
      </w:pPr>
      <w:r>
        <w:rPr>
          <w:rFonts w:ascii="Times New Roman" w:hAnsi="Times New Roman"/>
          <w:sz w:val="24"/>
          <w:szCs w:val="24"/>
        </w:rPr>
        <w:t>КСП было заключено 23 соглашения (решения) о проведении совместных и/или параллельных мероприятий в части контроля за целевым и эффективным использованием бюджетных средств.</w:t>
      </w:r>
    </w:p>
    <w:p>
      <w:pPr>
        <w:pStyle w:val="style41"/>
        <w:spacing w:after="0" w:before="0" w:line="100" w:lineRule="atLeast"/>
        <w:ind w:firstLine="567" w:left="0" w:right="23"/>
        <w:jc w:val="both"/>
      </w:pPr>
      <w:r>
        <w:rPr>
          <w:rFonts w:ascii="Times New Roman" w:hAnsi="Times New Roman"/>
          <w:sz w:val="24"/>
          <w:szCs w:val="24"/>
        </w:rPr>
        <w:t>Председатель Контрольно-счетной палаты Орловской области Т.И. Степина утверждена в составе межведомственной рабочей группы для координации действий по выявлению и пресечению правонарушений и преступлений в сфере экономики, финансов, трудовых и социальных прав граждан, противодействию ценовому сговору.</w:t>
      </w:r>
    </w:p>
    <w:p>
      <w:pPr>
        <w:pStyle w:val="style41"/>
        <w:spacing w:after="0" w:before="0" w:line="100" w:lineRule="atLeast"/>
        <w:ind w:firstLine="567" w:left="0" w:right="23"/>
        <w:jc w:val="both"/>
      </w:pPr>
      <w:r>
        <w:rPr>
          <w:rFonts w:ascii="Times New Roman" w:hAnsi="Times New Roman"/>
          <w:sz w:val="24"/>
          <w:szCs w:val="24"/>
        </w:rPr>
        <w:t>В рамках взаимодействия сотрудники КСП приняли участие в 17 заседаниях Правительства Орловской области, в 12 заседаниях Орловского областного Совета народных депутатов (далее также – областной Совет), в 50 оперативных совещаниях у Губернатора Орловской области, в 12 заседаниях Президиума областного Совета, в заседаниях комитетов областного Совета, комиссий, политических фракций и т</w:t>
      </w:r>
      <w:r>
        <w:rPr>
          <w:rFonts w:ascii="Times New Roman" w:hAnsi="Times New Roman"/>
          <w:sz w:val="24"/>
          <w:szCs w:val="24"/>
          <w:lang w:val="ru-RU"/>
        </w:rPr>
        <w:t xml:space="preserve">ак </w:t>
      </w:r>
      <w:r>
        <w:rPr>
          <w:rFonts w:ascii="Times New Roman" w:hAnsi="Times New Roman"/>
          <w:sz w:val="24"/>
          <w:szCs w:val="24"/>
        </w:rPr>
        <w:t>д</w:t>
      </w:r>
      <w:r>
        <w:rPr>
          <w:rFonts w:ascii="Times New Roman" w:hAnsi="Times New Roman"/>
          <w:sz w:val="24"/>
          <w:szCs w:val="24"/>
          <w:lang w:val="ru-RU"/>
        </w:rPr>
        <w:t>алее</w:t>
      </w:r>
      <w:r>
        <w:rPr>
          <w:rFonts w:ascii="Times New Roman" w:hAnsi="Times New Roman"/>
          <w:sz w:val="24"/>
          <w:szCs w:val="24"/>
        </w:rPr>
        <w:t>.</w:t>
      </w:r>
    </w:p>
    <w:p>
      <w:pPr>
        <w:pStyle w:val="style41"/>
        <w:spacing w:after="0" w:before="0" w:line="100" w:lineRule="atLeast"/>
        <w:ind w:firstLine="567" w:left="0" w:right="23"/>
        <w:jc w:val="both"/>
      </w:pPr>
      <w:r>
        <w:rPr>
          <w:rFonts w:ascii="Times New Roman" w:hAnsi="Times New Roman"/>
          <w:sz w:val="24"/>
          <w:szCs w:val="24"/>
        </w:rPr>
        <w:t>В целях выработки единого подхода к проведению экспертно-аналитической работы в соответствии со статьей 10 Закона № 1229-ОЗ специалистами Контрольно-счетной палаты были подготовлены два стандарта внешнего государственного финансового контроля: стандарт 002 "Проведение экспертно-аналитического мероприятия" и стандарт 003 "Порядок проведения комплекса проверок закона об областном бюджете", которые были рассмотрены и приняты на заседаниях Коллегии Контрольно-счетной палаты Орловской области.</w:t>
      </w:r>
    </w:p>
    <w:p>
      <w:pPr>
        <w:pStyle w:val="style41"/>
        <w:spacing w:after="0" w:before="0" w:line="100" w:lineRule="atLeast"/>
        <w:ind w:firstLine="567" w:left="0" w:right="23"/>
        <w:jc w:val="both"/>
      </w:pPr>
      <w:r>
        <w:rPr>
          <w:rFonts w:ascii="Times New Roman" w:hAnsi="Times New Roman"/>
          <w:sz w:val="24"/>
          <w:szCs w:val="24"/>
        </w:rPr>
        <w:t xml:space="preserve">Итоги работы Контрольно-счетной палаты за 2011 год были рассмотрены в марте </w:t>
      </w:r>
      <w:r>
        <w:rPr>
          <w:rFonts w:ascii="Times New Roman" w:hAnsi="Times New Roman"/>
          <w:sz w:val="24"/>
          <w:szCs w:val="24"/>
          <w:lang w:val="ru-RU"/>
        </w:rPr>
        <w:br/>
      </w:r>
      <w:r>
        <w:rPr>
          <w:rFonts w:ascii="Times New Roman" w:hAnsi="Times New Roman"/>
          <w:sz w:val="24"/>
          <w:szCs w:val="24"/>
        </w:rPr>
        <w:t>2012 года на 6 заседании областного Совета. В июне и октябре 2012 года сотрудники КСП принимали участие (с докладами) в общественных публичных слушаниях по итогам исполнения областного бюджета за 2011 год и по проекту областного бюджета на 2013 год и на плановый период 2014 и 2015 годов.</w:t>
      </w:r>
    </w:p>
    <w:p>
      <w:pPr>
        <w:pStyle w:val="style41"/>
        <w:spacing w:after="0" w:before="0" w:line="100" w:lineRule="atLeast"/>
        <w:ind w:firstLine="567" w:left="0" w:right="23"/>
        <w:jc w:val="both"/>
      </w:pPr>
      <w:r>
        <w:rPr>
          <w:rFonts w:ascii="Times New Roman" w:hAnsi="Times New Roman"/>
          <w:sz w:val="24"/>
          <w:szCs w:val="24"/>
        </w:rPr>
        <w:t>В отчетном периоде председатель КСП приняла участие:</w:t>
      </w:r>
    </w:p>
    <w:p>
      <w:pPr>
        <w:pStyle w:val="style41"/>
        <w:spacing w:after="0" w:before="0" w:line="100" w:lineRule="atLeast"/>
        <w:ind w:firstLine="567" w:left="0" w:right="23"/>
        <w:jc w:val="both"/>
      </w:pPr>
      <w:r>
        <w:rPr>
          <w:rFonts w:ascii="Times New Roman" w:hAnsi="Times New Roman"/>
          <w:sz w:val="24"/>
          <w:szCs w:val="24"/>
        </w:rPr>
        <w:t>в научно-практической конференции "Общественный контроль: новая форма государственно-частного партнерства", организованной Счетной палатой Российской Федерации совместно с Общественной палатой Российской Федерации;</w:t>
      </w:r>
    </w:p>
    <w:p>
      <w:pPr>
        <w:pStyle w:val="style41"/>
        <w:spacing w:after="0" w:before="0" w:line="100" w:lineRule="atLeast"/>
        <w:ind w:firstLine="567" w:left="0" w:right="23"/>
        <w:jc w:val="both"/>
      </w:pPr>
      <w:r>
        <w:rPr>
          <w:rFonts w:ascii="Times New Roman" w:hAnsi="Times New Roman"/>
          <w:sz w:val="24"/>
          <w:szCs w:val="24"/>
        </w:rPr>
        <w:t>в конференции "Взаимодействие органов внешнего и внутреннего финансового контроля", организованной Счетной палатой Российской Федерации совместно с Росфиннадзором Минфина Российской Федерации и  Казначейством Российской Федерации;</w:t>
      </w:r>
    </w:p>
    <w:p>
      <w:pPr>
        <w:pStyle w:val="style41"/>
        <w:spacing w:after="0" w:before="0" w:line="100" w:lineRule="atLeast"/>
        <w:ind w:firstLine="567" w:left="0" w:right="23"/>
        <w:jc w:val="both"/>
      </w:pPr>
      <w:r>
        <w:rPr>
          <w:rFonts w:ascii="Times New Roman" w:hAnsi="Times New Roman"/>
          <w:sz w:val="24"/>
          <w:szCs w:val="24"/>
        </w:rPr>
        <w:t xml:space="preserve">во Всероссийском совещании по вопросам совершенствования государственного контроля, проводимого Руководителем Администрации Президента Российской Федерации, Председателем Счетной палаты Российской Федерации, Генеральным прокурором Российской Федерации и помощником Президента Российской Федерации </w:t>
      </w:r>
      <w:r>
        <w:rPr>
          <w:rFonts w:ascii="Times New Roman" w:hAnsi="Times New Roman"/>
          <w:sz w:val="24"/>
          <w:szCs w:val="24"/>
          <w:lang w:val="ru-RU"/>
        </w:rPr>
        <w:t>–</w:t>
      </w:r>
      <w:r>
        <w:rPr>
          <w:rFonts w:ascii="Times New Roman" w:hAnsi="Times New Roman"/>
          <w:sz w:val="24"/>
          <w:szCs w:val="24"/>
        </w:rPr>
        <w:t xml:space="preserve"> начальником контрольного управления Президента Российской Федерации.</w:t>
      </w:r>
    </w:p>
    <w:p>
      <w:pPr>
        <w:pStyle w:val="style41"/>
        <w:spacing w:after="0" w:before="0" w:line="100" w:lineRule="atLeast"/>
        <w:ind w:firstLine="567" w:left="0" w:right="23"/>
        <w:jc w:val="both"/>
      </w:pPr>
      <w:r>
        <w:rPr>
          <w:rFonts w:ascii="Times New Roman" w:hAnsi="Times New Roman"/>
          <w:sz w:val="24"/>
          <w:szCs w:val="24"/>
        </w:rPr>
        <w:t xml:space="preserve">В соответствии со статьей 22 Закона № 1229-ОЗ деятельность КСП носит открытый характер. В течение 2012 года в средствах массовой информации было размещено 24 материала о работе (деятельности) КСП. </w:t>
      </w:r>
    </w:p>
    <w:p>
      <w:pPr>
        <w:pStyle w:val="style41"/>
        <w:spacing w:after="0" w:before="0" w:line="100" w:lineRule="atLeast"/>
        <w:ind w:firstLine="567" w:left="0" w:right="23"/>
        <w:jc w:val="both"/>
      </w:pPr>
      <w:r>
        <w:rPr>
          <w:rFonts w:ascii="Times New Roman" w:hAnsi="Times New Roman"/>
          <w:sz w:val="24"/>
          <w:szCs w:val="24"/>
        </w:rPr>
        <w:t>Штатная и фактическая численность сотрудников Контрольно-счетной палаты составляет 12 человек, из которых в отчетном периоде прошли обучение по программе повышения квалификации 2 человека. В составе КСП 5 человек занимают государственные должности, 7 человек – должности государственной гражданской службы. Все сотрудники КСП имеют высшее профессиональное (финансовое и/или юридическое) образование, 4 сотрудника (33,0 процента) имеют два высших образования. Расходы на содержание КСП составили 11,5 млн рублей, в том числе на оплату труда – 10,9 млн рублей.</w:t>
      </w:r>
    </w:p>
    <w:sectPr>
      <w:footerReference r:id="rId4" w:type="default"/>
      <w:type w:val="nextPage"/>
      <w:pgSz w:h="16838" w:w="11906"/>
      <w:pgMar w:bottom="851" w:footer="708" w:gutter="0" w:header="0" w:left="1701" w:right="850" w:top="708"/>
      <w:pgNumType w:fmt="decimal"/>
      <w:formProt w:val="false"/>
      <w:textDirection w:val="lrTb"/>
      <w:docGrid w:charSpace="-6145"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8"/>
      <w:spacing w:after="0" w:before="0"/>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8"/>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Базовый"/>
    <w:next w:val="style0"/>
    <w:pPr>
      <w:widowControl w:val="false"/>
      <w:tabs>
        <w:tab w:leader="none" w:pos="708" w:val="left"/>
      </w:tabs>
      <w:suppressAutoHyphens w:val="true"/>
      <w:spacing w:after="0" w:before="0" w:line="100" w:lineRule="atLeast"/>
    </w:pPr>
    <w:rPr>
      <w:rFonts w:ascii="Times New Roman" w:cs="Tahoma" w:eastAsia="Lucida Sans Unicode" w:hAnsi="Times New Roman"/>
      <w:color w:val="000000"/>
      <w:sz w:val="24"/>
      <w:szCs w:val="24"/>
      <w:lang w:bidi="en-US" w:eastAsia="en-US" w:val="en-US"/>
    </w:rPr>
  </w:style>
  <w:style w:styleId="style3" w:type="paragraph">
    <w:name w:val="Заголовок 3"/>
    <w:basedOn w:val="style0"/>
    <w:next w:val="style41"/>
    <w:pPr>
      <w:keepNext/>
      <w:numPr>
        <w:ilvl w:val="2"/>
        <w:numId w:val="1"/>
      </w:numPr>
      <w:spacing w:after="60" w:before="240" w:line="100" w:lineRule="atLeast"/>
      <w:jc w:val="center"/>
      <w:outlineLvl w:val="2"/>
    </w:pPr>
    <w:rPr>
      <w:rFonts w:ascii="Arial" w:cs="Times New Roman" w:eastAsia="Times New Roman" w:hAnsi="Arial"/>
      <w:b/>
      <w:bCs/>
      <w:sz w:val="26"/>
      <w:szCs w:val="26"/>
      <w:lang w:eastAsia="en-US" w:val="en-US"/>
    </w:rPr>
  </w:style>
  <w:style w:styleId="style15" w:type="character">
    <w:name w:val="Default Paragraph Font"/>
    <w:next w:val="style15"/>
    <w:rPr/>
  </w:style>
  <w:style w:styleId="style16" w:type="character">
    <w:name w:val="Основной текст Знак"/>
    <w:basedOn w:val="style15"/>
    <w:next w:val="style16"/>
    <w:rPr>
      <w:rFonts w:ascii="Calibri" w:cs="Times New Roman" w:eastAsia="Calibri" w:hAnsi="Calibri"/>
      <w:lang w:val="en-US"/>
    </w:rPr>
  </w:style>
  <w:style w:styleId="style17" w:type="character">
    <w:name w:val="Заголовок 3 Знак"/>
    <w:basedOn w:val="style15"/>
    <w:next w:val="style17"/>
    <w:rPr>
      <w:rFonts w:ascii="Arial" w:cs="Times New Roman" w:eastAsia="Times New Roman" w:hAnsi="Arial"/>
      <w:b/>
      <w:bCs/>
      <w:sz w:val="26"/>
      <w:szCs w:val="26"/>
      <w:lang w:eastAsia="en-US" w:val="en-US"/>
    </w:rPr>
  </w:style>
  <w:style w:styleId="style18" w:type="character">
    <w:name w:val="Верхний колонтитул Знак"/>
    <w:basedOn w:val="style15"/>
    <w:next w:val="style18"/>
    <w:rPr>
      <w:rFonts w:ascii="Calibri" w:cs="Times New Roman" w:eastAsia="Calibri" w:hAnsi="Calibri"/>
      <w:lang w:val="en-US"/>
    </w:rPr>
  </w:style>
  <w:style w:styleId="style19" w:type="character">
    <w:name w:val="Нижний колонтитул Знак"/>
    <w:basedOn w:val="style15"/>
    <w:next w:val="style19"/>
    <w:rPr>
      <w:rFonts w:ascii="Calibri" w:cs="Times New Roman" w:eastAsia="Calibri" w:hAnsi="Calibri"/>
      <w:lang w:val="en-US"/>
    </w:rPr>
  </w:style>
  <w:style w:styleId="style20" w:type="character">
    <w:name w:val="page number"/>
    <w:basedOn w:val="style15"/>
    <w:next w:val="style20"/>
    <w:rPr/>
  </w:style>
  <w:style w:styleId="style21" w:type="character">
    <w:name w:val="Font Style15"/>
    <w:next w:val="style21"/>
    <w:rPr>
      <w:rFonts w:ascii="Times New Roman" w:cs="Times New Roman" w:hAnsi="Times New Roman"/>
      <w:b/>
      <w:bCs/>
      <w:sz w:val="22"/>
      <w:szCs w:val="22"/>
    </w:rPr>
  </w:style>
  <w:style w:styleId="style22" w:type="character">
    <w:name w:val="Font Style16"/>
    <w:next w:val="style22"/>
    <w:rPr>
      <w:rFonts w:ascii="Times New Roman" w:cs="Times New Roman" w:hAnsi="Times New Roman"/>
      <w:sz w:val="22"/>
      <w:szCs w:val="22"/>
    </w:rPr>
  </w:style>
  <w:style w:styleId="style23" w:type="character">
    <w:name w:val="Font Style11"/>
    <w:next w:val="style23"/>
    <w:rPr>
      <w:rFonts w:ascii="Times New Roman" w:cs="Times New Roman" w:hAnsi="Times New Roman"/>
      <w:b/>
      <w:bCs/>
      <w:sz w:val="22"/>
      <w:szCs w:val="22"/>
    </w:rPr>
  </w:style>
  <w:style w:styleId="style24" w:type="character">
    <w:name w:val="Font Style12"/>
    <w:next w:val="style24"/>
    <w:rPr>
      <w:rFonts w:ascii="Times New Roman" w:cs="Times New Roman" w:hAnsi="Times New Roman"/>
      <w:sz w:val="22"/>
      <w:szCs w:val="22"/>
    </w:rPr>
  </w:style>
  <w:style w:styleId="style25" w:type="character">
    <w:name w:val="Font Style13"/>
    <w:next w:val="style25"/>
    <w:rPr>
      <w:rFonts w:ascii="Times New Roman" w:cs="Times New Roman" w:hAnsi="Times New Roman"/>
      <w:sz w:val="22"/>
      <w:szCs w:val="22"/>
    </w:rPr>
  </w:style>
  <w:style w:styleId="style26" w:type="character">
    <w:name w:val="Текст выноски Знак"/>
    <w:basedOn w:val="style15"/>
    <w:next w:val="style26"/>
    <w:rPr>
      <w:rFonts w:ascii="Tahoma" w:cs="Times New Roman" w:eastAsia="Calibri" w:hAnsi="Tahoma"/>
      <w:sz w:val="16"/>
      <w:szCs w:val="16"/>
      <w:lang w:val="en-US"/>
    </w:rPr>
  </w:style>
  <w:style w:styleId="style27" w:type="character">
    <w:name w:val="Основной текст с отступом Знак"/>
    <w:basedOn w:val="style15"/>
    <w:next w:val="style27"/>
    <w:rPr>
      <w:rFonts w:ascii="Times New Roman" w:cs="Times New Roman" w:eastAsia="Times New Roman" w:hAnsi="Times New Roman"/>
      <w:b/>
      <w:sz w:val="24"/>
      <w:szCs w:val="20"/>
      <w:lang w:eastAsia="en-US" w:val="en-US"/>
    </w:rPr>
  </w:style>
  <w:style w:styleId="style28" w:type="character">
    <w:name w:val="Интернет-ссылка"/>
    <w:next w:val="style28"/>
    <w:rPr>
      <w:color w:val="0000FF"/>
      <w:u w:val="single"/>
      <w:lang w:bidi="ru-RU" w:eastAsia="ru-RU" w:val="ru-RU"/>
    </w:rPr>
  </w:style>
  <w:style w:styleId="style29" w:type="character">
    <w:name w:val="Основной текст 2 Знак"/>
    <w:basedOn w:val="style15"/>
    <w:next w:val="style29"/>
    <w:rPr>
      <w:rFonts w:ascii="Calibri" w:cs="Times New Roman" w:eastAsia="Calibri" w:hAnsi="Calibri"/>
      <w:lang w:val="en-US"/>
    </w:rPr>
  </w:style>
  <w:style w:styleId="style30" w:type="character">
    <w:name w:val="Название Знак"/>
    <w:basedOn w:val="style15"/>
    <w:next w:val="style30"/>
    <w:rPr>
      <w:rFonts w:ascii="Times New Roman" w:cs="Times New Roman" w:eastAsia="Times New Roman" w:hAnsi="Times New Roman"/>
      <w:b/>
      <w:sz w:val="24"/>
      <w:szCs w:val="20"/>
      <w:lang w:eastAsia="en-US" w:val="en-US"/>
    </w:rPr>
  </w:style>
  <w:style w:styleId="style31" w:type="character">
    <w:name w:val="Подзаголовок Знак"/>
    <w:basedOn w:val="style15"/>
    <w:next w:val="style31"/>
    <w:rPr>
      <w:rFonts w:ascii="Times New Roman" w:cs="Times New Roman" w:eastAsia="Times New Roman" w:hAnsi="Times New Roman"/>
      <w:b/>
      <w:sz w:val="24"/>
      <w:szCs w:val="20"/>
      <w:lang w:eastAsia="en-US" w:val="en-US"/>
    </w:rPr>
  </w:style>
  <w:style w:styleId="style32" w:type="character">
    <w:name w:val="Основной текст с отступом 2 Знак"/>
    <w:basedOn w:val="style15"/>
    <w:next w:val="style32"/>
    <w:rPr>
      <w:rFonts w:ascii="Times New Roman" w:cs="Times New Roman" w:eastAsia="Times New Roman" w:hAnsi="Times New Roman"/>
      <w:sz w:val="24"/>
      <w:szCs w:val="24"/>
      <w:lang w:eastAsia="en-US" w:val="en-US"/>
    </w:rPr>
  </w:style>
  <w:style w:styleId="style33" w:type="character">
    <w:name w:val="Основной текст с отступом 3 Знак"/>
    <w:basedOn w:val="style15"/>
    <w:next w:val="style33"/>
    <w:rPr>
      <w:rFonts w:ascii="Times New Roman" w:cs="Times New Roman" w:eastAsia="Times New Roman" w:hAnsi="Times New Roman"/>
      <w:sz w:val="16"/>
      <w:szCs w:val="16"/>
      <w:lang w:eastAsia="en-US" w:val="en-US"/>
    </w:rPr>
  </w:style>
  <w:style w:styleId="style34" w:type="character">
    <w:name w:val="Font Style14"/>
    <w:next w:val="style34"/>
    <w:rPr>
      <w:rFonts w:ascii="Times New Roman" w:cs="Times New Roman" w:hAnsi="Times New Roman"/>
      <w:b/>
      <w:bCs/>
      <w:i/>
      <w:iCs/>
      <w:sz w:val="26"/>
      <w:szCs w:val="26"/>
    </w:rPr>
  </w:style>
  <w:style w:styleId="style35" w:type="character">
    <w:name w:val="Текст сноски Знак"/>
    <w:basedOn w:val="style15"/>
    <w:next w:val="style35"/>
    <w:rPr>
      <w:rFonts w:ascii="Calibri" w:cs="Times New Roman" w:eastAsia="Times New Roman" w:hAnsi="Calibri"/>
      <w:sz w:val="20"/>
      <w:szCs w:val="20"/>
      <w:lang w:eastAsia="en-US" w:val="en-US"/>
    </w:rPr>
  </w:style>
  <w:style w:styleId="style36" w:type="character">
    <w:name w:val="footnote reference"/>
    <w:next w:val="style36"/>
    <w:rPr>
      <w:vertAlign w:val="superscript"/>
    </w:rPr>
  </w:style>
  <w:style w:styleId="style37" w:type="character">
    <w:name w:val="ListLabel 1"/>
    <w:next w:val="style37"/>
    <w:rPr>
      <w:rFonts w:cs="Times New Roman"/>
    </w:rPr>
  </w:style>
  <w:style w:styleId="style38" w:type="character">
    <w:name w:val="ListLabel 2"/>
    <w:next w:val="style38"/>
    <w:rPr>
      <w:b w:val="false"/>
      <w:color w:val="00000A"/>
    </w:rPr>
  </w:style>
  <w:style w:styleId="style39" w:type="character">
    <w:name w:val="ListLabel 3"/>
    <w:next w:val="style39"/>
    <w:rPr>
      <w:b w:val="false"/>
      <w:i w:val="false"/>
      <w:sz w:val="24"/>
    </w:rPr>
  </w:style>
  <w:style w:styleId="style40" w:type="paragraph">
    <w:name w:val="Заголовок"/>
    <w:basedOn w:val="style0"/>
    <w:next w:val="style41"/>
    <w:pPr>
      <w:keepNext/>
      <w:spacing w:after="120" w:before="240"/>
    </w:pPr>
    <w:rPr>
      <w:rFonts w:ascii="Arial" w:cs="Mangal" w:eastAsia="Microsoft YaHei" w:hAnsi="Arial"/>
      <w:sz w:val="28"/>
      <w:szCs w:val="28"/>
    </w:rPr>
  </w:style>
  <w:style w:styleId="style41" w:type="paragraph">
    <w:name w:val="Основной текст"/>
    <w:basedOn w:val="style0"/>
    <w:next w:val="style41"/>
    <w:pPr>
      <w:spacing w:after="120" w:before="0"/>
    </w:pPr>
    <w:rPr>
      <w:rFonts w:ascii="Calibri" w:cs="Times New Roman" w:eastAsia="Calibri" w:hAnsi="Calibri"/>
      <w:lang w:val="en-US"/>
    </w:rPr>
  </w:style>
  <w:style w:styleId="style42" w:type="paragraph">
    <w:name w:val="Список"/>
    <w:basedOn w:val="style41"/>
    <w:next w:val="style42"/>
    <w:pPr/>
    <w:rPr>
      <w:rFonts w:cs="Mangal"/>
    </w:rPr>
  </w:style>
  <w:style w:styleId="style43" w:type="paragraph">
    <w:name w:val="Название"/>
    <w:basedOn w:val="style0"/>
    <w:next w:val="style43"/>
    <w:pPr>
      <w:suppressLineNumbers/>
      <w:spacing w:after="120" w:before="120"/>
    </w:pPr>
    <w:rPr>
      <w:rFonts w:cs="Mangal"/>
      <w:i/>
      <w:iCs/>
      <w:sz w:val="24"/>
      <w:szCs w:val="24"/>
    </w:rPr>
  </w:style>
  <w:style w:styleId="style44" w:type="paragraph">
    <w:name w:val="Указатель"/>
    <w:basedOn w:val="style0"/>
    <w:next w:val="style44"/>
    <w:pPr>
      <w:suppressLineNumbers/>
    </w:pPr>
    <w:rPr>
      <w:rFonts w:cs="Mangal"/>
    </w:rPr>
  </w:style>
  <w:style w:styleId="style45" w:type="paragraph">
    <w:name w:val="ConsPlusNormal"/>
    <w:next w:val="style45"/>
    <w:pPr>
      <w:widowControl w:val="false"/>
      <w:tabs>
        <w:tab w:leader="none" w:pos="708" w:val="left"/>
      </w:tabs>
      <w:suppressAutoHyphens w:val="true"/>
      <w:spacing w:after="0" w:before="0" w:line="100" w:lineRule="atLeast"/>
      <w:ind w:firstLine="720" w:left="0" w:right="0"/>
    </w:pPr>
    <w:rPr>
      <w:rFonts w:ascii="Arial" w:cs="Arial" w:eastAsia="Times New Roman" w:hAnsi="Arial"/>
      <w:color w:val="auto"/>
      <w:sz w:val="20"/>
      <w:szCs w:val="20"/>
      <w:lang w:bidi="ar-SA" w:eastAsia="ru-RU" w:val="ru-RU"/>
    </w:rPr>
  </w:style>
  <w:style w:styleId="style46" w:type="paragraph">
    <w:name w:val="ConsPlusNonformat"/>
    <w:next w:val="style46"/>
    <w:pPr>
      <w:widowControl w:val="false"/>
      <w:tabs>
        <w:tab w:leader="none" w:pos="708" w:val="left"/>
      </w:tabs>
      <w:suppressAutoHyphens w:val="true"/>
      <w:spacing w:after="0" w:before="0" w:line="100" w:lineRule="atLeast"/>
    </w:pPr>
    <w:rPr>
      <w:rFonts w:ascii="Courier New" w:cs="Courier New" w:eastAsia="Times New Roman" w:hAnsi="Courier New"/>
      <w:color w:val="auto"/>
      <w:sz w:val="20"/>
      <w:szCs w:val="20"/>
      <w:lang w:bidi="ar-SA" w:eastAsia="ru-RU" w:val="ru-RU"/>
    </w:rPr>
  </w:style>
  <w:style w:styleId="style47" w:type="paragraph">
    <w:name w:val="Верхний колонтитул"/>
    <w:basedOn w:val="style0"/>
    <w:next w:val="style47"/>
    <w:pPr>
      <w:suppressLineNumbers/>
      <w:tabs>
        <w:tab w:leader="none" w:pos="4677" w:val="center"/>
        <w:tab w:leader="none" w:pos="9355" w:val="right"/>
      </w:tabs>
    </w:pPr>
    <w:rPr>
      <w:rFonts w:ascii="Calibri" w:cs="Times New Roman" w:eastAsia="Calibri" w:hAnsi="Calibri"/>
      <w:lang w:val="en-US"/>
    </w:rPr>
  </w:style>
  <w:style w:styleId="style48" w:type="paragraph">
    <w:name w:val="Нижний колонтитул"/>
    <w:basedOn w:val="style0"/>
    <w:next w:val="style48"/>
    <w:pPr>
      <w:suppressLineNumbers/>
      <w:tabs>
        <w:tab w:leader="none" w:pos="4677" w:val="center"/>
        <w:tab w:leader="none" w:pos="9355" w:val="right"/>
      </w:tabs>
    </w:pPr>
    <w:rPr>
      <w:rFonts w:ascii="Calibri" w:cs="Times New Roman" w:eastAsia="Calibri" w:hAnsi="Calibri"/>
      <w:lang w:val="en-US"/>
    </w:rPr>
  </w:style>
  <w:style w:styleId="style49" w:type="paragraph">
    <w:name w:val="Style2"/>
    <w:basedOn w:val="style0"/>
    <w:next w:val="style49"/>
    <w:pPr>
      <w:widowControl w:val="false"/>
      <w:spacing w:after="0" w:before="0" w:line="288" w:lineRule="exact"/>
      <w:ind w:firstLine="250" w:left="0" w:right="0"/>
      <w:jc w:val="both"/>
    </w:pPr>
    <w:rPr>
      <w:rFonts w:ascii="Times New Roman" w:cs="Times New Roman" w:eastAsia="Times New Roman" w:hAnsi="Times New Roman"/>
      <w:sz w:val="24"/>
      <w:szCs w:val="24"/>
      <w:lang w:eastAsia="ru-RU"/>
    </w:rPr>
  </w:style>
  <w:style w:styleId="style50" w:type="paragraph">
    <w:name w:val="Style3"/>
    <w:basedOn w:val="style0"/>
    <w:next w:val="style50"/>
    <w:pPr>
      <w:widowControl w:val="false"/>
      <w:spacing w:after="0" w:before="0" w:line="272" w:lineRule="exact"/>
      <w:jc w:val="right"/>
    </w:pPr>
    <w:rPr>
      <w:rFonts w:ascii="Times New Roman" w:cs="Times New Roman" w:eastAsia="Times New Roman" w:hAnsi="Times New Roman"/>
      <w:sz w:val="24"/>
      <w:szCs w:val="24"/>
      <w:lang w:eastAsia="ru-RU"/>
    </w:rPr>
  </w:style>
  <w:style w:styleId="style51" w:type="paragraph">
    <w:name w:val="Style4"/>
    <w:basedOn w:val="style0"/>
    <w:next w:val="style51"/>
    <w:pPr>
      <w:widowControl w:val="false"/>
      <w:spacing w:after="0" w:before="0" w:line="100" w:lineRule="atLeast"/>
    </w:pPr>
    <w:rPr>
      <w:rFonts w:ascii="Times New Roman" w:cs="Times New Roman" w:eastAsia="Times New Roman" w:hAnsi="Times New Roman"/>
      <w:sz w:val="24"/>
      <w:szCs w:val="24"/>
      <w:lang w:eastAsia="ru-RU"/>
    </w:rPr>
  </w:style>
  <w:style w:styleId="style52" w:type="paragraph">
    <w:name w:val="Style5"/>
    <w:basedOn w:val="style0"/>
    <w:next w:val="style52"/>
    <w:pPr>
      <w:widowControl w:val="false"/>
      <w:spacing w:after="0" w:before="0" w:line="100" w:lineRule="atLeast"/>
    </w:pPr>
    <w:rPr>
      <w:rFonts w:ascii="Times New Roman" w:cs="Times New Roman" w:eastAsia="Times New Roman" w:hAnsi="Times New Roman"/>
      <w:sz w:val="24"/>
      <w:szCs w:val="24"/>
      <w:lang w:eastAsia="ru-RU"/>
    </w:rPr>
  </w:style>
  <w:style w:styleId="style53" w:type="paragraph">
    <w:name w:val="Style6"/>
    <w:basedOn w:val="style0"/>
    <w:next w:val="style53"/>
    <w:pPr>
      <w:widowControl w:val="false"/>
      <w:spacing w:after="0" w:before="0" w:line="100" w:lineRule="atLeast"/>
    </w:pPr>
    <w:rPr>
      <w:rFonts w:ascii="Times New Roman" w:cs="Times New Roman" w:eastAsia="Times New Roman" w:hAnsi="Times New Roman"/>
      <w:sz w:val="24"/>
      <w:szCs w:val="24"/>
      <w:lang w:eastAsia="ru-RU"/>
    </w:rPr>
  </w:style>
  <w:style w:styleId="style54" w:type="paragraph">
    <w:name w:val="Style7"/>
    <w:basedOn w:val="style0"/>
    <w:next w:val="style54"/>
    <w:pPr>
      <w:widowControl w:val="false"/>
      <w:spacing w:after="0" w:before="0" w:line="552" w:lineRule="exact"/>
      <w:jc w:val="right"/>
    </w:pPr>
    <w:rPr>
      <w:rFonts w:ascii="Times New Roman" w:cs="Times New Roman" w:eastAsia="Times New Roman" w:hAnsi="Times New Roman"/>
      <w:sz w:val="24"/>
      <w:szCs w:val="24"/>
      <w:lang w:eastAsia="ru-RU"/>
    </w:rPr>
  </w:style>
  <w:style w:styleId="style55" w:type="paragraph">
    <w:name w:val="Style8"/>
    <w:basedOn w:val="style0"/>
    <w:next w:val="style55"/>
    <w:pPr>
      <w:widowControl w:val="false"/>
      <w:spacing w:after="0" w:before="0" w:line="278" w:lineRule="exact"/>
      <w:jc w:val="center"/>
    </w:pPr>
    <w:rPr>
      <w:rFonts w:ascii="Times New Roman" w:cs="Times New Roman" w:eastAsia="Times New Roman" w:hAnsi="Times New Roman"/>
      <w:sz w:val="24"/>
      <w:szCs w:val="24"/>
      <w:lang w:eastAsia="ru-RU"/>
    </w:rPr>
  </w:style>
  <w:style w:styleId="style56" w:type="paragraph">
    <w:name w:val="Style9"/>
    <w:basedOn w:val="style0"/>
    <w:next w:val="style56"/>
    <w:pPr>
      <w:widowControl w:val="false"/>
      <w:spacing w:after="0" w:before="0" w:line="100" w:lineRule="atLeast"/>
    </w:pPr>
    <w:rPr>
      <w:rFonts w:ascii="Times New Roman" w:cs="Times New Roman" w:eastAsia="Times New Roman" w:hAnsi="Times New Roman"/>
      <w:sz w:val="24"/>
      <w:szCs w:val="24"/>
      <w:lang w:eastAsia="ru-RU"/>
    </w:rPr>
  </w:style>
  <w:style w:styleId="style57" w:type="paragraph">
    <w:name w:val="Style10"/>
    <w:basedOn w:val="style0"/>
    <w:next w:val="style57"/>
    <w:pPr>
      <w:widowControl w:val="false"/>
      <w:spacing w:after="0" w:before="0" w:line="274" w:lineRule="exact"/>
    </w:pPr>
    <w:rPr>
      <w:rFonts w:ascii="Times New Roman" w:cs="Times New Roman" w:eastAsia="Times New Roman" w:hAnsi="Times New Roman"/>
      <w:sz w:val="24"/>
      <w:szCs w:val="24"/>
      <w:lang w:eastAsia="ru-RU"/>
    </w:rPr>
  </w:style>
  <w:style w:styleId="style58" w:type="paragraph">
    <w:name w:val="Style11"/>
    <w:basedOn w:val="style0"/>
    <w:next w:val="style58"/>
    <w:pPr>
      <w:widowControl w:val="false"/>
      <w:spacing w:after="0" w:before="0" w:line="100" w:lineRule="atLeast"/>
    </w:pPr>
    <w:rPr>
      <w:rFonts w:ascii="Times New Roman" w:cs="Times New Roman" w:eastAsia="Times New Roman" w:hAnsi="Times New Roman"/>
      <w:sz w:val="24"/>
      <w:szCs w:val="24"/>
      <w:lang w:eastAsia="ru-RU"/>
    </w:rPr>
  </w:style>
  <w:style w:styleId="style59" w:type="paragraph">
    <w:name w:val="Style12"/>
    <w:basedOn w:val="style0"/>
    <w:next w:val="style59"/>
    <w:pPr>
      <w:widowControl w:val="false"/>
      <w:spacing w:after="0" w:before="0" w:line="100" w:lineRule="atLeast"/>
    </w:pPr>
    <w:rPr>
      <w:rFonts w:ascii="Times New Roman" w:cs="Times New Roman" w:eastAsia="Times New Roman" w:hAnsi="Times New Roman"/>
      <w:sz w:val="24"/>
      <w:szCs w:val="24"/>
      <w:lang w:eastAsia="ru-RU"/>
    </w:rPr>
  </w:style>
  <w:style w:styleId="style60" w:type="paragraph">
    <w:name w:val="Style13"/>
    <w:basedOn w:val="style0"/>
    <w:next w:val="style60"/>
    <w:pPr>
      <w:widowControl w:val="false"/>
      <w:spacing w:after="0" w:before="0" w:line="100" w:lineRule="atLeast"/>
    </w:pPr>
    <w:rPr>
      <w:rFonts w:ascii="Times New Roman" w:cs="Times New Roman" w:eastAsia="Times New Roman" w:hAnsi="Times New Roman"/>
      <w:sz w:val="24"/>
      <w:szCs w:val="24"/>
      <w:lang w:eastAsia="ru-RU"/>
    </w:rPr>
  </w:style>
  <w:style w:styleId="style61" w:type="paragraph">
    <w:name w:val="Style1"/>
    <w:basedOn w:val="style0"/>
    <w:next w:val="style61"/>
    <w:pPr>
      <w:widowControl w:val="false"/>
      <w:spacing w:after="0" w:before="0" w:line="288" w:lineRule="exact"/>
      <w:ind w:firstLine="250" w:left="0" w:right="0"/>
      <w:jc w:val="both"/>
    </w:pPr>
    <w:rPr>
      <w:rFonts w:ascii="Times New Roman" w:cs="Times New Roman" w:eastAsia="Times New Roman" w:hAnsi="Times New Roman"/>
      <w:sz w:val="24"/>
      <w:szCs w:val="24"/>
      <w:lang w:eastAsia="ru-RU"/>
    </w:rPr>
  </w:style>
  <w:style w:styleId="style62" w:type="paragraph">
    <w:name w:val="Balloon Text"/>
    <w:basedOn w:val="style0"/>
    <w:next w:val="style62"/>
    <w:pPr>
      <w:spacing w:after="0" w:before="0" w:line="100" w:lineRule="atLeast"/>
    </w:pPr>
    <w:rPr>
      <w:rFonts w:ascii="Tahoma" w:cs="Times New Roman" w:eastAsia="Calibri" w:hAnsi="Tahoma"/>
      <w:sz w:val="16"/>
      <w:szCs w:val="16"/>
      <w:lang w:val="en-US"/>
    </w:rPr>
  </w:style>
  <w:style w:styleId="style63" w:type="paragraph">
    <w:name w:val="Основной текст с отступом"/>
    <w:basedOn w:val="style0"/>
    <w:next w:val="style63"/>
    <w:pPr>
      <w:spacing w:after="0" w:before="0" w:line="100" w:lineRule="atLeast"/>
      <w:ind w:hanging="0" w:left="283" w:right="0"/>
      <w:jc w:val="center"/>
    </w:pPr>
    <w:rPr>
      <w:rFonts w:ascii="Times New Roman" w:cs="Times New Roman" w:eastAsia="Times New Roman" w:hAnsi="Times New Roman"/>
      <w:b/>
      <w:sz w:val="24"/>
      <w:szCs w:val="20"/>
      <w:lang w:eastAsia="en-US" w:val="en-US"/>
    </w:rPr>
  </w:style>
  <w:style w:styleId="style64" w:type="paragraph">
    <w:name w:val="Знак Знак Знак Знак"/>
    <w:basedOn w:val="style0"/>
    <w:next w:val="style64"/>
    <w:pPr>
      <w:spacing w:after="160" w:before="0" w:line="240" w:lineRule="exact"/>
    </w:pPr>
    <w:rPr>
      <w:rFonts w:ascii="Arial" w:cs="Arial" w:eastAsia="Times New Roman" w:hAnsi="Arial"/>
      <w:sz w:val="20"/>
      <w:szCs w:val="20"/>
      <w:lang w:val="en-US"/>
    </w:rPr>
  </w:style>
  <w:style w:styleId="style65" w:type="paragraph">
    <w:name w:val="ConsNormal"/>
    <w:next w:val="style65"/>
    <w:pPr>
      <w:widowControl w:val="false"/>
      <w:tabs>
        <w:tab w:leader="none" w:pos="708" w:val="left"/>
      </w:tabs>
      <w:suppressAutoHyphens w:val="true"/>
      <w:spacing w:after="0" w:before="120" w:line="100" w:lineRule="atLeast"/>
      <w:ind w:firstLine="720" w:left="0" w:right="19772"/>
      <w:jc w:val="both"/>
    </w:pPr>
    <w:rPr>
      <w:rFonts w:ascii="Arial" w:cs="Arial" w:eastAsia="Times New Roman" w:hAnsi="Arial"/>
      <w:color w:val="auto"/>
      <w:sz w:val="20"/>
      <w:szCs w:val="20"/>
      <w:lang w:bidi="ar-SA" w:eastAsia="ru-RU" w:val="ru-RU"/>
    </w:rPr>
  </w:style>
  <w:style w:styleId="style66" w:type="paragraph">
    <w:name w:val="ConsTitle"/>
    <w:next w:val="style66"/>
    <w:pPr>
      <w:widowControl w:val="false"/>
      <w:tabs>
        <w:tab w:leader="none" w:pos="708" w:val="left"/>
      </w:tabs>
      <w:suppressAutoHyphens w:val="true"/>
      <w:spacing w:after="0" w:before="0" w:line="100" w:lineRule="atLeast"/>
      <w:ind w:hanging="0" w:left="0" w:right="19772"/>
    </w:pPr>
    <w:rPr>
      <w:rFonts w:ascii="Arial" w:cs="Arial" w:eastAsia="Times New Roman" w:hAnsi="Arial"/>
      <w:b/>
      <w:bCs/>
      <w:color w:val="auto"/>
      <w:sz w:val="16"/>
      <w:szCs w:val="16"/>
      <w:lang w:bidi="ar-SA" w:eastAsia="ru-RU" w:val="ru-RU"/>
    </w:rPr>
  </w:style>
  <w:style w:styleId="style67" w:type="paragraph">
    <w:name w:val="Body Text 2"/>
    <w:basedOn w:val="style0"/>
    <w:next w:val="style67"/>
    <w:pPr>
      <w:spacing w:after="120" w:before="0" w:line="480" w:lineRule="auto"/>
    </w:pPr>
    <w:rPr>
      <w:rFonts w:ascii="Calibri" w:cs="Times New Roman" w:eastAsia="Calibri" w:hAnsi="Calibri"/>
      <w:lang w:val="en-US"/>
    </w:rPr>
  </w:style>
  <w:style w:styleId="style68" w:type="paragraph">
    <w:name w:val="Заглавие"/>
    <w:basedOn w:val="style0"/>
    <w:next w:val="style69"/>
    <w:pPr>
      <w:spacing w:after="0" w:before="0" w:line="100" w:lineRule="atLeast"/>
      <w:ind w:firstLine="709" w:left="0" w:right="0"/>
      <w:jc w:val="center"/>
    </w:pPr>
    <w:rPr>
      <w:rFonts w:ascii="Times New Roman" w:cs="Times New Roman" w:eastAsia="Times New Roman" w:hAnsi="Times New Roman"/>
      <w:b/>
      <w:bCs/>
      <w:sz w:val="24"/>
      <w:szCs w:val="20"/>
      <w:lang w:eastAsia="en-US" w:val="en-US"/>
    </w:rPr>
  </w:style>
  <w:style w:styleId="style69" w:type="paragraph">
    <w:name w:val="Подзаголовок"/>
    <w:basedOn w:val="style0"/>
    <w:next w:val="style41"/>
    <w:pPr>
      <w:spacing w:after="0" w:before="120" w:line="100" w:lineRule="atLeast"/>
      <w:jc w:val="center"/>
    </w:pPr>
    <w:rPr>
      <w:rFonts w:ascii="Times New Roman" w:cs="Times New Roman" w:eastAsia="Times New Roman" w:hAnsi="Times New Roman"/>
      <w:b/>
      <w:i/>
      <w:iCs/>
      <w:sz w:val="24"/>
      <w:szCs w:val="20"/>
      <w:lang w:eastAsia="en-US" w:val="en-US"/>
    </w:rPr>
  </w:style>
  <w:style w:styleId="style70" w:type="paragraph">
    <w:name w:val="ConsNonformat"/>
    <w:next w:val="style70"/>
    <w:pPr>
      <w:widowControl w:val="false"/>
      <w:tabs>
        <w:tab w:leader="none" w:pos="708" w:val="left"/>
      </w:tabs>
      <w:suppressAutoHyphens w:val="true"/>
      <w:spacing w:after="0" w:before="0" w:line="100" w:lineRule="atLeast"/>
      <w:ind w:hanging="0" w:left="0" w:right="19772"/>
    </w:pPr>
    <w:rPr>
      <w:rFonts w:ascii="Courier New" w:cs="Courier New" w:eastAsia="Times New Roman" w:hAnsi="Courier New"/>
      <w:color w:val="auto"/>
      <w:sz w:val="20"/>
      <w:szCs w:val="20"/>
      <w:lang w:bidi="ar-SA" w:eastAsia="ru-RU" w:val="ru-RU"/>
    </w:rPr>
  </w:style>
  <w:style w:styleId="style71" w:type="paragraph">
    <w:name w:val="Body Text Indent 2"/>
    <w:basedOn w:val="style0"/>
    <w:next w:val="style71"/>
    <w:pPr>
      <w:spacing w:after="120" w:before="0" w:line="480" w:lineRule="auto"/>
      <w:ind w:hanging="0" w:left="283" w:right="0"/>
    </w:pPr>
    <w:rPr>
      <w:rFonts w:ascii="Times New Roman" w:cs="Times New Roman" w:eastAsia="Times New Roman" w:hAnsi="Times New Roman"/>
      <w:sz w:val="24"/>
      <w:szCs w:val="24"/>
      <w:lang w:eastAsia="en-US" w:val="en-US"/>
    </w:rPr>
  </w:style>
  <w:style w:styleId="style72" w:type="paragraph">
    <w:name w:val="Body Text Indent 3"/>
    <w:basedOn w:val="style0"/>
    <w:next w:val="style72"/>
    <w:pPr>
      <w:spacing w:after="120" w:before="0" w:line="100" w:lineRule="atLeast"/>
      <w:ind w:hanging="0" w:left="283" w:right="0"/>
    </w:pPr>
    <w:rPr>
      <w:rFonts w:ascii="Times New Roman" w:cs="Times New Roman" w:eastAsia="Times New Roman" w:hAnsi="Times New Roman"/>
      <w:sz w:val="16"/>
      <w:szCs w:val="16"/>
      <w:lang w:eastAsia="en-US" w:val="en-US"/>
    </w:rPr>
  </w:style>
  <w:style w:styleId="style73" w:type="paragraph">
    <w:name w:val="List Paragraph"/>
    <w:basedOn w:val="style0"/>
    <w:next w:val="style73"/>
    <w:pPr>
      <w:spacing w:after="0" w:before="0" w:line="100" w:lineRule="atLeast"/>
      <w:ind w:hanging="0" w:left="708" w:right="0"/>
    </w:pPr>
    <w:rPr>
      <w:rFonts w:ascii="Times New Roman" w:cs="Times New Roman" w:eastAsia="Times New Roman" w:hAnsi="Times New Roman"/>
      <w:sz w:val="24"/>
      <w:szCs w:val="24"/>
      <w:lang w:eastAsia="ru-RU"/>
    </w:rPr>
  </w:style>
  <w:style w:styleId="style74" w:type="paragraph">
    <w:name w:val="FR1"/>
    <w:next w:val="style74"/>
    <w:pPr>
      <w:widowControl w:val="false"/>
      <w:tabs>
        <w:tab w:leader="none" w:pos="708" w:val="left"/>
      </w:tabs>
      <w:suppressAutoHyphens w:val="true"/>
      <w:spacing w:after="0" w:before="0" w:line="100" w:lineRule="atLeast"/>
      <w:ind w:firstLine="380" w:left="0" w:right="0"/>
      <w:jc w:val="both"/>
    </w:pPr>
    <w:rPr>
      <w:rFonts w:ascii="Arial" w:cs="Times New Roman" w:eastAsia="Times New Roman" w:hAnsi="Arial"/>
      <w:color w:val="auto"/>
      <w:sz w:val="18"/>
      <w:szCs w:val="20"/>
      <w:lang w:bidi="ar-SA" w:eastAsia="ru-RU" w:val="ru-RU"/>
    </w:rPr>
  </w:style>
  <w:style w:styleId="style75" w:type="paragraph">
    <w:name w:val="footnote text"/>
    <w:basedOn w:val="style0"/>
    <w:next w:val="style75"/>
    <w:pPr>
      <w:spacing w:after="0" w:before="0" w:line="100" w:lineRule="atLeast"/>
    </w:pPr>
    <w:rPr>
      <w:rFonts w:ascii="Calibri" w:cs="Times New Roman" w:eastAsia="Times New Roman" w:hAnsi="Calibri"/>
      <w:sz w:val="20"/>
      <w:szCs w:val="20"/>
      <w:lang w:eastAsia="en-US" w:val="en-US"/>
    </w:rPr>
  </w:style>
  <w:style w:styleId="style76" w:type="paragraph">
    <w:name w:val="Normal (Web)"/>
    <w:basedOn w:val="style0"/>
    <w:next w:val="style76"/>
    <w:pPr>
      <w:spacing w:after="28" w:before="28" w:line="100" w:lineRule="atLeast"/>
    </w:pPr>
    <w:rPr>
      <w:rFonts w:ascii="Times New Roman" w:cs="Times New Roman" w:eastAsia="Times New Roman" w:hAnsi="Times New Roman"/>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2013-06-25T07:03:00.00Z</dcterms:created>
  <dc:creator>KSP3</dc:creator>
  <cp:lastModifiedBy>KSP3</cp:lastModifiedBy>
  <dcterms:modified xsi:type="dcterms:W3CDTF">2013-06-25T10:56:00.00Z</dcterms:modified>
  <cp:revision>8</cp:revision>
</cp:coreProperties>
</file>