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961457" w:rsidRDefault="008C2104" w:rsidP="000C0AFA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="005E5EF3" w:rsidRPr="005E5EF3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«Проверка целевого и эффективного расходования средств на строительство автомобильной дороги по ул. ген. Родина до ул. Карачевское шоссе в рамках Государственной программы Орловской области «Подготовка и проведение празднования 450–летия основания города Орла».</w:t>
      </w:r>
    </w:p>
    <w:p w:rsidR="006B7327" w:rsidRDefault="005E5EF3" w:rsidP="0085145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Arial Unicode MS" w:cs="Times New Roman"/>
          <w:color w:val="000000"/>
          <w:sz w:val="24"/>
          <w:szCs w:val="24"/>
          <w:lang w:eastAsia="ru-RU"/>
        </w:rPr>
        <w:t>На основании п. 1.7</w:t>
      </w:r>
      <w:r w:rsidR="006B7327"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Плана деятельности Контрольно-счетной </w:t>
      </w:r>
      <w:r w:rsidR="00851455">
        <w:rPr>
          <w:rFonts w:eastAsia="Arial Unicode MS" w:cs="Times New Roman"/>
          <w:color w:val="000000"/>
          <w:sz w:val="24"/>
          <w:szCs w:val="24"/>
          <w:lang w:eastAsia="ru-RU"/>
        </w:rPr>
        <w:t>палаты Орловской области на 2017</w:t>
      </w:r>
      <w:r w:rsidR="006B7327"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год проведена </w:t>
      </w: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проверка целевого и эффективного расходования средств на строительство автомобильной дороги по ул. ген. Родина до ул. Карачевское шоссе в рамках Государственной программы Орловской области «Подготовка и проведение празднования 450–летия основания города Орла»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МКУ «УКС г. Орла»</w:t>
      </w:r>
      <w:r w:rsidR="00851455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51455" w:rsidRDefault="00851455" w:rsidP="0085145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51455">
        <w:rPr>
          <w:rFonts w:eastAsia="Arial Unicode MS" w:cs="Times New Roman"/>
          <w:color w:val="000000"/>
          <w:sz w:val="24"/>
          <w:szCs w:val="24"/>
          <w:lang w:eastAsia="ru-RU"/>
        </w:rPr>
        <w:t>Общий объём проверенных средств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составил </w:t>
      </w:r>
      <w:r w:rsidR="005E5EF3"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228 310,60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тыс. рублей.</w:t>
      </w:r>
      <w:r w:rsidR="00C40048" w:rsidRPr="00C40048">
        <w:t xml:space="preserve"> </w:t>
      </w:r>
      <w:r w:rsidR="00C40048" w:rsidRPr="00C40048">
        <w:rPr>
          <w:rFonts w:eastAsia="Arial Unicode MS" w:cs="Times New Roman"/>
          <w:color w:val="000000"/>
          <w:sz w:val="24"/>
          <w:szCs w:val="24"/>
          <w:lang w:eastAsia="ru-RU"/>
        </w:rPr>
        <w:t>Сумма выявленных нарушений составила 39 458,3 тыс. рублей или 17,3% от общего объёма проверенных средств</w:t>
      </w:r>
      <w:r w:rsidR="00C40048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72438D" w:rsidRPr="0072438D" w:rsidRDefault="003C4A93" w:rsidP="0072438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Результаты контрольного мероприятия: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Орла от 18.03.2009 №824 выполнение функций заказчика по объекту «Строительство автомобильной дороги от улицы Генерала Родина до Карачевского шоссе в городе Орле» (далее – Объект) возложено на </w:t>
      </w:r>
      <w:r w:rsidR="00D300B6">
        <w:rPr>
          <w:rFonts w:eastAsia="Arial Unicode MS" w:cs="Times New Roman"/>
          <w:color w:val="000000"/>
          <w:sz w:val="24"/>
          <w:szCs w:val="24"/>
          <w:lang w:eastAsia="ru-RU"/>
        </w:rPr>
        <w:t>МКУ «УКС г. Орла»</w:t>
      </w: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(далее – Заказчик).</w:t>
      </w:r>
    </w:p>
    <w:p w:rsidR="005E5EF3" w:rsidRPr="00CC1DD2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CC1DD2">
        <w:rPr>
          <w:rFonts w:eastAsia="Arial Unicode MS" w:cs="Times New Roman"/>
          <w:color w:val="000000"/>
          <w:sz w:val="24"/>
          <w:szCs w:val="24"/>
          <w:lang w:eastAsia="ru-RU"/>
        </w:rPr>
        <w:t>На выполнение строительных работ, по итогам проведения открытог</w:t>
      </w:r>
      <w:r w:rsidR="00D300B6" w:rsidRPr="00CC1DD2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о аукциона в электронной форме </w:t>
      </w:r>
      <w:r w:rsidRPr="00CC1DD2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Заказчиком с Подрядчиком был заключен муниципальный контракт на строительство Объекта на сумму 227 973,2 тыс. рублей. </w:t>
      </w:r>
    </w:p>
    <w:p w:rsidR="00B50DB6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Проверкой установлено, грубое нарушение Подрядчиком </w:t>
      </w:r>
      <w:r w:rsidR="00B50DB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существенных условий контракта (п. 4.10), согласно которому </w:t>
      </w:r>
      <w:r w:rsidR="00B50DB6" w:rsidRPr="00B50DB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«Подрядчик выполняет работы по настоящему </w:t>
      </w:r>
      <w:r w:rsidR="00401E40">
        <w:rPr>
          <w:rFonts w:eastAsia="Arial Unicode MS" w:cs="Times New Roman"/>
          <w:color w:val="000000"/>
          <w:sz w:val="24"/>
          <w:szCs w:val="24"/>
          <w:lang w:eastAsia="ru-RU"/>
        </w:rPr>
        <w:t>МК</w:t>
      </w:r>
      <w:r w:rsidR="00B50DB6" w:rsidRPr="00B50DB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B50DB6" w:rsidRPr="00B50DB6">
        <w:rPr>
          <w:rFonts w:eastAsia="Arial Unicode MS" w:cs="Times New Roman"/>
          <w:color w:val="000000"/>
          <w:sz w:val="24"/>
          <w:szCs w:val="24"/>
          <w:u w:val="single"/>
          <w:lang w:eastAsia="ru-RU"/>
        </w:rPr>
        <w:t>лично</w:t>
      </w:r>
      <w:r w:rsidR="00B50DB6" w:rsidRPr="00B50DB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без привлечения других лиц (субподрядчиков)</w:t>
      </w:r>
      <w:r w:rsidR="00B50DB6">
        <w:rPr>
          <w:rFonts w:eastAsia="Arial Unicode MS" w:cs="Times New Roman"/>
          <w:color w:val="000000"/>
          <w:sz w:val="24"/>
          <w:szCs w:val="24"/>
          <w:lang w:eastAsia="ru-RU"/>
        </w:rPr>
        <w:t>. Между тем,</w:t>
      </w: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20.11.2012 </w:t>
      </w:r>
      <w:r w:rsidR="00277CDD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Подрядчик</w:t>
      </w: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277CDD">
        <w:rPr>
          <w:rFonts w:eastAsia="Arial Unicode MS" w:cs="Times New Roman"/>
          <w:color w:val="000000"/>
          <w:sz w:val="24"/>
          <w:szCs w:val="24"/>
          <w:lang w:eastAsia="ru-RU"/>
        </w:rPr>
        <w:t>заключает</w:t>
      </w: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договор субпод</w:t>
      </w:r>
      <w:r w:rsidR="00B50DB6">
        <w:rPr>
          <w:rFonts w:eastAsia="Arial Unicode MS" w:cs="Times New Roman"/>
          <w:color w:val="000000"/>
          <w:sz w:val="24"/>
          <w:szCs w:val="24"/>
          <w:lang w:eastAsia="ru-RU"/>
        </w:rPr>
        <w:t>ряда на полную стоимость контракта.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Пунктом 11.11 части 11 муниципального контракта на строительство Объекта предусмотрена ответственность Подрядчика за нарушение условий выполнения работ предусмотренных п. 4.10 МК – штраф в размере 100,0 тыс. рублей за каждый выявленный факт нарушения.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КСП отмечает, что штрафные санкции, предусмотренные за нарушение Подрядчиком существенных условий муниципального контракта, предусмотренные п. 4.10 не соизмеримо малы по отношению к общей стоимости контракта и составляют 0,04 % от цены контракта. Вместе с тем по сложившийся общей практике по применению штрафных санкций за нарушение существенных условий контракта размер штрафов составляет в среднем 5% – 10%  от цены контракта (по данному муниципальному контракту 11 398,6 – 22 797,3 тыс. рублей).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ходе проведения контрольного мероприятия проведен сравнительный анализ соответствия сметной стоимости работ по проектной документации и фактически выполненных работ, который показал, что при проведении работ по строительству объекта объемы работ, а соответственно сметная стоимость отдельных участков реконструкции отличалась от проектной документации. Сметная стоимость объекта, в соответствии с проектной документацией составляла 227 973,2 тыс. рублей. Стоимость фактически выполненных работ составила 222 108,5 тыс. рублей. 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нарушение части 5 статьи 9 Федерального закона №94-ФЗ изменены существенные условия контракта при его исполнении (объем работ, цена) на общую сумму 5 864,713 тыс. рублей.  </w:t>
      </w:r>
    </w:p>
    <w:p w:rsidR="005E5EF3" w:rsidRPr="005E5EF3" w:rsidRDefault="005E5EF3" w:rsidP="00D300B6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Объем предусмотренных проектно–сметной документации и фактически не выполненных и не оплаченных работ составил в суммовом выражении 19 729,2 тыс. рублей</w:t>
      </w:r>
      <w:r w:rsidR="00D300B6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 xml:space="preserve">Объем фактически выполненных работ превышающих проектно–сметную документацию составил в суммовом выражении 13 864,4 тыс. рублей. 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Проверкой отмечено низкое качество подготовки строительства Объекта на стадии проекта, а также дальнейшего контроля со стороны Заказчика. По некоторым затратным видам строительных работ (перенос сетей водоснабжения, электроснабжения) в ходе их проведения отпала необходимость. Кроме того, Подрядчиком в день заключения договора с Заказчиком, был заключен договор субподряда на полную стоимость контракта. Установить фактических исполнителей строительных работ не представляется возможным.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Кроме того, проверке не представлено приложение «График производства работ», предусмотренное пунктом 4.2. муниципального контракта, в связи с чем, анализ соблюдения подрядчиком графика производства работ не осуществлялся. </w:t>
      </w:r>
    </w:p>
    <w:p w:rsidR="005E5EF3" w:rsidRPr="005E5EF3" w:rsidRDefault="005E5EF3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5E5EF3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Вместе с тем, согласно п. 11.2. за нарушение Подрядчиком сроков выполнения отдельных видов работ, указанных в графике производства работ, Подрядчик уплачивает Заказчику пеню. Соответственно отсутствие графика производства работ могло повлечь неисполнение (ненадлежащее исполнение) договорных отношений и невозможность взыскания понесенных убытков.  </w:t>
      </w:r>
    </w:p>
    <w:p w:rsidR="005E5EF3" w:rsidRPr="005E5EF3" w:rsidRDefault="00277CDD" w:rsidP="005E5EF3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Подрядчиком </w:t>
      </w:r>
      <w:r w:rsidR="005E5EF3"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нарушены усл</w:t>
      </w:r>
      <w:bookmarkStart w:id="0" w:name="_GoBack"/>
      <w:bookmarkEnd w:id="0"/>
      <w:r w:rsidR="005E5EF3" w:rsidRPr="005E5EF3">
        <w:rPr>
          <w:rFonts w:eastAsia="Arial Unicode MS" w:cs="Times New Roman"/>
          <w:color w:val="000000"/>
          <w:sz w:val="24"/>
          <w:szCs w:val="24"/>
          <w:lang w:eastAsia="ru-RU"/>
        </w:rPr>
        <w:t>овия (сроки) предоставления банковской гарантии, которая не была представлена одновременно с подписанием Акта законченного строительством объекта (20.05.2014г.), а также срок начала действия банковской гарантии не соответствует условиям контракта. За неисполнение данных обязательств, предусмотрена уплата Заказчику пени в размере 1% от цены контракта за каждый день просрочки, по расчетам сумма пени составила 18 237,859 тыс. рублей. Заказчиком претензия Подрядчику не предъявлена.</w:t>
      </w:r>
    </w:p>
    <w:p w:rsidR="005E5EF3" w:rsidRDefault="005E5EF3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8C2104" w:rsidRPr="008C2104" w:rsidRDefault="008C2104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соглашение о сот</w:t>
      </w:r>
      <w:r w:rsidR="00F01A63">
        <w:rPr>
          <w:rFonts w:eastAsia="Arial Unicode MS" w:cs="Times New Roman"/>
          <w:color w:val="000000"/>
          <w:sz w:val="24"/>
          <w:szCs w:val="24"/>
          <w:lang w:eastAsia="ru-RU"/>
        </w:rPr>
        <w:t>рудничестве между Контрольно–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счетной палатой Орловской области и Прокуратурой Орловской области от 20.05.2016</w:t>
      </w:r>
      <w:r w:rsidR="001F6779">
        <w:rPr>
          <w:rFonts w:eastAsia="Arial Unicode MS" w:cs="Times New Roman"/>
          <w:color w:val="000000"/>
          <w:sz w:val="24"/>
          <w:szCs w:val="24"/>
          <w:lang w:eastAsia="ru-RU"/>
        </w:rPr>
        <w:t>г.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Прокурат</w:t>
      </w:r>
      <w:r w:rsidR="000E0A64">
        <w:rPr>
          <w:rFonts w:eastAsia="Arial Unicode MS" w:cs="Times New Roman"/>
          <w:color w:val="000000"/>
          <w:sz w:val="24"/>
          <w:szCs w:val="24"/>
          <w:lang w:eastAsia="ru-RU"/>
        </w:rPr>
        <w:t>уру Орловской области направлена копия Акта</w:t>
      </w:r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Pr="008C2104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контрольного мероприятия направлена Губернатору Орловской области В.В. Потомскому, Председателю Орловского областного Совета народных депутатов Л.С. Музалевскому. </w:t>
      </w:r>
    </w:p>
    <w:p w:rsidR="00BF4928" w:rsidRDefault="00BF4928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p w:rsidR="007E30F6" w:rsidRDefault="007E30F6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sectPr w:rsidR="007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2597F"/>
    <w:rsid w:val="000579BA"/>
    <w:rsid w:val="00061A45"/>
    <w:rsid w:val="0008003D"/>
    <w:rsid w:val="000C0AFA"/>
    <w:rsid w:val="000E0A64"/>
    <w:rsid w:val="000E58FD"/>
    <w:rsid w:val="00164B2E"/>
    <w:rsid w:val="001F12B9"/>
    <w:rsid w:val="001F3258"/>
    <w:rsid w:val="001F6779"/>
    <w:rsid w:val="002300F8"/>
    <w:rsid w:val="00254ACF"/>
    <w:rsid w:val="00277CDD"/>
    <w:rsid w:val="002F6360"/>
    <w:rsid w:val="003460D1"/>
    <w:rsid w:val="003C4A93"/>
    <w:rsid w:val="00401E40"/>
    <w:rsid w:val="0042600F"/>
    <w:rsid w:val="004D4E27"/>
    <w:rsid w:val="00577E35"/>
    <w:rsid w:val="005B220C"/>
    <w:rsid w:val="005E5EF3"/>
    <w:rsid w:val="006678D6"/>
    <w:rsid w:val="006B7327"/>
    <w:rsid w:val="006B7E7B"/>
    <w:rsid w:val="0072438D"/>
    <w:rsid w:val="007E30F6"/>
    <w:rsid w:val="00851455"/>
    <w:rsid w:val="008C2104"/>
    <w:rsid w:val="009055CC"/>
    <w:rsid w:val="00961457"/>
    <w:rsid w:val="009C6067"/>
    <w:rsid w:val="00B50DB6"/>
    <w:rsid w:val="00B942C5"/>
    <w:rsid w:val="00BA7563"/>
    <w:rsid w:val="00BF4928"/>
    <w:rsid w:val="00C40048"/>
    <w:rsid w:val="00C673B6"/>
    <w:rsid w:val="00CC1DD2"/>
    <w:rsid w:val="00D300B6"/>
    <w:rsid w:val="00D446BF"/>
    <w:rsid w:val="00DD4CED"/>
    <w:rsid w:val="00DF0224"/>
    <w:rsid w:val="00E00918"/>
    <w:rsid w:val="00E87278"/>
    <w:rsid w:val="00F01A63"/>
    <w:rsid w:val="00F07DF4"/>
    <w:rsid w:val="00F641BB"/>
    <w:rsid w:val="00F7117D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6</cp:revision>
  <cp:lastPrinted>2017-10-05T11:38:00Z</cp:lastPrinted>
  <dcterms:created xsi:type="dcterms:W3CDTF">2017-10-05T09:37:00Z</dcterms:created>
  <dcterms:modified xsi:type="dcterms:W3CDTF">2017-10-05T12:19:00Z</dcterms:modified>
</cp:coreProperties>
</file>